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footer5.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
        <w:numPr>
          <w:ilvl w:val="0"/>
          <w:numId w:val="0"/>
        </w:numPr>
        <w:bidi w:val="0"/>
        <w:ind w:hanging="0" w:left="0" w:right="0"/>
        <w:outlineLvl w:val="0"/>
        <w:rPr>
          <w:rFonts w:ascii="Times New Roman" w:hAnsi="Times New Roman" w:cs="Times New Roman"/>
          <w:sz w:val="24"/>
          <w:szCs w:val="24"/>
        </w:rPr>
      </w:pPr>
      <w:r>
        <w:rPr>
          <w:rFonts w:cs="Times New Roman" w:ascii="Times New Roman" w:hAnsi="Times New Roman"/>
          <w:sz w:val="24"/>
          <w:szCs w:val="24"/>
        </w:rPr>
        <w:t>Зарегистрировано в Минюсте России 25 декабря 2013 г. N 30803</w:t>
      </w:r>
    </w:p>
    <w:p>
      <w:pPr>
        <w:pStyle w:val="ConsPlusNormal"/>
        <w:pBdr>
          <w:top w:val="single" w:sz="6" w:space="0" w:color="000000"/>
        </w:pBdr>
        <w:bidi w:val="0"/>
        <w:spacing w:before="100" w:after="10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МИНИСТЕРСТВО ТРУДА И СОЦИАЛЬНОЙ ЗАЩИТЫ РОССИЙСКОЙ ФЕДЕРАЦИИ</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ПРИКАЗ</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от 7 октября 2013 г. N 530н</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 ТРЕБОВАНИЯХ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К РАЗМЕЩЕНИЮ И НАПОЛНЕНИЮ ПОДРАЗДЕЛОВ, ПОСВЯЩЕННЫХ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ВОПРОСАМ ПРОТИВОДЕЙСТВИЯ КОРРУПЦИИ, ОФИЦИАЛЬНЫХ САЙТОВ</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ФЕДЕРАЛЬНЫХ ГОСУДАРСТВЕННЫХ ОРГАНОВ, ЦЕНТРАЛЬНОГО БАНКА</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РОССИЙСКОЙ ФЕДЕРАЦИИ, ПЕНСИОННОГО ФОНДА РОССИЙСКОЙ</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ФЕДЕРАЦИИ, ФОНДА СОЦИАЛЬНОГО СТРАХОВАНИЯ РОССИЙСКОЙ</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ФЕДЕРАЦИИ, ФЕДЕРАЛЬНОГО ФОНДА ОБЯЗАТЕЛЬНОГО МЕДИЦИНСКОГО</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СТРАХОВАНИЯ, ГОСУДАРСТВЕННЫХ КОРПОРАЦИЙ (КОМПАНИЙ), ИНЫХ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ОРГАНИЗАЦИЙ, СОЗДАННЫХ НА ОСНОВАНИИ ФЕДЕРАЛЬНЫХ ЗАКОНОВ,</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И ТРЕБОВАНИЯХ К ДОЛЖНОСТЯМ, ЗАМЕЩЕНИЕ КОТОРЫХ ВЛЕЧЕТ</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ЗА СОБОЙ РАЗМЕЩЕНИЕ СВЕДЕНИЙ О ДОХОДАХ, РАСХОДАХ,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ОБ ИМУЩЕСТВЕ И ОБЯЗАТЕЛЬСТВАХ ИМУЩЕСТВЕННОГО ХАРАКТЕРА</w:t>
      </w:r>
    </w:p>
    <w:p>
      <w:pPr>
        <w:pStyle w:val="ConsPlusNormal"/>
        <w:bidi w:val="0"/>
        <w:ind w:hanging="0" w:left="0" w:right="0"/>
        <w:rPr>
          <w:rFonts w:ascii="Times New Roman" w:hAnsi="Times New Roman" w:cs="Times New Roman"/>
          <w:sz w:val="24"/>
          <w:szCs w:val="24"/>
        </w:rPr>
      </w:pPr>
      <w:r>
        <w:rPr>
          <w:rFonts w:cs="Times New Roman" w:ascii="Times New Roman" w:hAnsi="Times New Roman"/>
          <w:sz w:val="24"/>
          <w:szCs w:val="24"/>
        </w:rPr>
      </w:r>
    </w:p>
    <w:tbl>
      <w:tblPr>
        <w:tblW w:w="10208" w:type="dxa"/>
        <w:jc w:val="left"/>
        <w:tblInd w:w="0" w:type="dxa"/>
        <w:tblLayout w:type="fixed"/>
        <w:tblCellMar>
          <w:top w:w="0" w:type="dxa"/>
          <w:left w:w="0" w:type="dxa"/>
          <w:bottom w:w="0" w:type="dxa"/>
          <w:right w:w="0" w:type="dxa"/>
        </w:tblCellMar>
      </w:tblPr>
      <w:tblGrid>
        <w:gridCol w:w="60"/>
        <w:gridCol w:w="112"/>
        <w:gridCol w:w="9922"/>
        <w:gridCol w:w="113"/>
      </w:tblGrid>
      <w:tr>
        <w:trPr/>
        <w:tc>
          <w:tcPr>
            <w:tcW w:w="60" w:type="dxa"/>
            <w:tcBorders/>
            <w:shd w:color="auto" w:fill="CED3F1"/>
          </w:tcPr>
          <w:p>
            <w:pPr>
              <w:pStyle w:val="ConsPlusNormal"/>
              <w:tabs>
                <w:tab w:val="clear" w:pos="720"/>
              </w:tabs>
              <w:bidi w:val="0"/>
              <w:ind w:hanging="0" w:left="0" w:right="0"/>
              <w:jc w:val="left"/>
              <w:rPr>
                <w:rFonts w:ascii="Times New Roman" w:hAnsi="Times New Roman" w:cs="Times New Roman"/>
                <w:sz w:val="24"/>
                <w:szCs w:val="24"/>
              </w:rPr>
            </w:pPr>
            <w:r>
              <w:rPr>
                <w:rFonts w:cs="Times New Roman" w:ascii="Times New Roman" w:hAnsi="Times New Roman"/>
                <w:sz w:val="24"/>
                <w:szCs w:val="24"/>
              </w:rPr>
            </w:r>
          </w:p>
        </w:tc>
        <w:tc>
          <w:tcPr>
            <w:tcW w:w="112" w:type="dxa"/>
            <w:tcBorders/>
            <w:shd w:color="auto" w:fill="F4F3F8"/>
          </w:tcPr>
          <w:p>
            <w:pPr>
              <w:pStyle w:val="ConsPlusNormal"/>
              <w:tabs>
                <w:tab w:val="clear" w:pos="720"/>
              </w:tabs>
              <w:bidi w:val="0"/>
              <w:ind w:hanging="0" w:left="0" w:right="0"/>
              <w:jc w:val="left"/>
              <w:rPr>
                <w:rFonts w:ascii="Times New Roman" w:hAnsi="Times New Roman" w:cs="Times New Roman"/>
                <w:sz w:val="24"/>
                <w:szCs w:val="24"/>
              </w:rPr>
            </w:pPr>
            <w:r>
              <w:rPr>
                <w:rFonts w:cs="Times New Roman" w:ascii="Times New Roman" w:hAnsi="Times New Roman"/>
                <w:sz w:val="24"/>
                <w:szCs w:val="24"/>
              </w:rPr>
            </w:r>
          </w:p>
        </w:tc>
        <w:tc>
          <w:tcPr>
            <w:tcW w:w="9922" w:type="dxa"/>
            <w:tcBorders/>
            <w:shd w:color="auto" w:fill="F4F3F8"/>
            <w:tcMar>
              <w:top w:w="113" w:type="dxa"/>
              <w:bottom w:w="113" w:type="dxa"/>
            </w:tcMar>
          </w:tcPr>
          <w:p>
            <w:pPr>
              <w:pStyle w:val="ConsPlusNormal"/>
              <w:tabs>
                <w:tab w:val="clear" w:pos="720"/>
              </w:tabs>
              <w:bidi w:val="0"/>
              <w:ind w:hanging="0" w:left="0" w:right="0"/>
              <w:jc w:val="center"/>
              <w:rPr>
                <w:rFonts w:ascii="Times New Roman" w:hAnsi="Times New Roman" w:cs="Times New Roman"/>
                <w:color w:val="392C69"/>
                <w:sz w:val="24"/>
                <w:szCs w:val="24"/>
              </w:rPr>
            </w:pPr>
            <w:r>
              <w:rPr>
                <w:rFonts w:cs="Times New Roman" w:ascii="Times New Roman" w:hAnsi="Times New Roman"/>
                <w:color w:val="392C69"/>
                <w:sz w:val="24"/>
                <w:szCs w:val="24"/>
              </w:rPr>
              <w:t>Список изменяющих документов</w:t>
            </w:r>
          </w:p>
          <w:p>
            <w:pPr>
              <w:pStyle w:val="ConsPlusNormal"/>
              <w:tabs>
                <w:tab w:val="clear" w:pos="720"/>
              </w:tabs>
              <w:bidi w:val="0"/>
              <w:ind w:hanging="0" w:left="0" w:right="0"/>
              <w:jc w:val="center"/>
              <w:rPr/>
            </w:pPr>
            <w:r>
              <w:rPr>
                <w:rFonts w:cs="Times New Roman" w:ascii="Times New Roman" w:hAnsi="Times New Roman"/>
                <w:color w:val="392C69"/>
                <w:sz w:val="24"/>
                <w:szCs w:val="24"/>
              </w:rPr>
              <w:t xml:space="preserve">(в ред. </w:t>
            </w:r>
            <w:hyperlink r:id="rId2"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color w:val="392C69"/>
                <w:sz w:val="24"/>
                <w:szCs w:val="24"/>
              </w:rPr>
              <w:t xml:space="preserve"> Минтруда России от 26.07.2018 N 490н)</w:t>
            </w:r>
          </w:p>
        </w:tc>
        <w:tc>
          <w:tcPr>
            <w:tcW w:w="113" w:type="dxa"/>
            <w:tcBorders/>
            <w:shd w:color="auto" w:fill="F4F3F8"/>
          </w:tcPr>
          <w:p>
            <w:pPr>
              <w:pStyle w:val="ConsPlusNormal"/>
              <w:tabs>
                <w:tab w:val="clear" w:pos="720"/>
              </w:tabs>
              <w:bidi w:val="0"/>
              <w:ind w:hanging="0" w:left="0" w:right="0"/>
              <w:jc w:val="center"/>
              <w:rPr>
                <w:rFonts w:ascii="Times New Roman" w:hAnsi="Times New Roman" w:cs="Times New Roman"/>
                <w:color w:val="392C69"/>
                <w:sz w:val="24"/>
                <w:szCs w:val="24"/>
              </w:rPr>
            </w:pPr>
            <w:r>
              <w:rPr>
                <w:rFonts w:cs="Times New Roman" w:ascii="Times New Roman" w:hAnsi="Times New Roman"/>
                <w:color w:val="392C69"/>
                <w:sz w:val="24"/>
                <w:szCs w:val="24"/>
              </w:rPr>
            </w:r>
          </w:p>
        </w:tc>
      </w:tr>
    </w:tbl>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Во исполнение </w:t>
      </w:r>
      <w:hyperlink r:id="rId3" w:tgtFrame="Указ Президента РФ от 08.07.2013 N 613 (ред. от 10.12.2020) \&quot;Вопросы противодействия коррупции\">
        <w:r>
          <w:rPr>
            <w:rFonts w:cs="Times New Roman" w:ascii="Times New Roman" w:hAnsi="Times New Roman"/>
            <w:color w:val="0000FF"/>
            <w:sz w:val="24"/>
            <w:szCs w:val="24"/>
          </w:rPr>
          <w:t>подпункта "а" пункта 6</w:t>
        </w:r>
      </w:hyperlink>
      <w:r>
        <w:rPr>
          <w:rFonts w:cs="Times New Roman" w:ascii="Times New Roman" w:hAnsi="Times New Roman"/>
          <w:sz w:val="24"/>
          <w:szCs w:val="24"/>
        </w:rPr>
        <w:t xml:space="preserve"> Указа Президента Российской Федерации от 8 июля 2013 г. N 613 "Вопросы противодействия коррупции" (Собрание законодательства Российской Федерации, 2013, N 28, ст. 3813) приказываю:</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 Утвердить:</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4"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согласно </w:t>
      </w:r>
      <w:hyperlink w:anchor="Par49" w:tgtFrame="ТРЕБОВАНИЯ">
        <w:r>
          <w:rPr>
            <w:rFonts w:cs="Times New Roman" w:ascii="Times New Roman" w:hAnsi="Times New Roman"/>
            <w:color w:val="0000FF"/>
            <w:sz w:val="24"/>
            <w:szCs w:val="24"/>
          </w:rPr>
          <w:t>приложению N 1</w:t>
        </w:r>
      </w:hyperlink>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требования к должностям, замещение которых влечет за собой размещение сведений о доходах, расходах, об имуществе и обязательствах имущественного характера, согласно </w:t>
      </w:r>
      <w:hyperlink w:anchor="Par316" w:tgtFrame="ТРЕБОВАНИЯ">
        <w:r>
          <w:rPr>
            <w:rFonts w:cs="Times New Roman" w:ascii="Times New Roman" w:hAnsi="Times New Roman"/>
            <w:color w:val="0000FF"/>
            <w:sz w:val="24"/>
            <w:szCs w:val="24"/>
          </w:rPr>
          <w:t>приложению N 2</w:t>
        </w:r>
      </w:hyperlink>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 Департаменту государственной политики в сфере государственной и муниципальной службы, противодействия коррупции (Д.В. Баснак) обеспечить проведение мониторинга выполнения федеральными государственными органами, Центральным банком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требований, утвержденных настоящим приказом.</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5"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2.1. Рекомендовать органам государственной власти субъектов Российской Федерации и органам местного самоуправления использовать настоящий приказ при создании и наполнении подразделов, посвященных вопросам противодействия коррупции, официальных сайтов органов государственной власти субъектов Российской Федерации и органов местного самоуправления.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2.1 введен </w:t>
      </w:r>
      <w:hyperlink r:id="rId6"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Приказом</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3. Контроль за исполнением настоящего приказа возложить на заместителя Министра труда и социальной защиты Российской Федерации А.А. Черкасова.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7"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Министр</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М.А.ТОПИЛИН</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Normal"/>
        <w:numPr>
          <w:ilvl w:val="0"/>
          <w:numId w:val="0"/>
        </w:numPr>
        <w:bidi w:val="0"/>
        <w:ind w:hanging="0" w:left="0" w:right="0"/>
        <w:jc w:val="right"/>
        <w:outlineLvl w:val="0"/>
        <w:rPr>
          <w:rFonts w:ascii="Times New Roman" w:hAnsi="Times New Roman" w:cs="Times New Roman"/>
          <w:sz w:val="24"/>
          <w:szCs w:val="24"/>
        </w:rPr>
      </w:pPr>
      <w:r>
        <w:rPr>
          <w:rFonts w:cs="Times New Roman" w:ascii="Times New Roman" w:hAnsi="Times New Roman"/>
          <w:sz w:val="24"/>
          <w:szCs w:val="24"/>
        </w:rPr>
        <w:t>Приложение N 1</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к приказу Министерства труда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и социальной защиты</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Российской Федерации</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от 7 октября 2013 г. N 530н</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Title"/>
        <w:bidi w:val="0"/>
        <w:ind w:hanging="0" w:left="0" w:right="0"/>
        <w:jc w:val="center"/>
        <w:rPr>
          <w:rFonts w:ascii="Times New Roman" w:hAnsi="Times New Roman" w:cs="Times New Roman"/>
          <w:sz w:val="24"/>
          <w:szCs w:val="24"/>
        </w:rPr>
      </w:pPr>
      <w:bookmarkStart w:id="0" w:name="Par49"/>
      <w:bookmarkEnd w:id="0"/>
      <w:r>
        <w:rPr>
          <w:rFonts w:cs="Times New Roman" w:ascii="Times New Roman" w:hAnsi="Times New Roman"/>
          <w:sz w:val="24"/>
          <w:szCs w:val="24"/>
        </w:rPr>
        <w:t>ТРЕБОВАНИЯ</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К РАЗМЕЩЕНИЮ И НАПОЛНЕНИЮ ПОДРАЗДЕЛОВ, ПОСВЯЩЕННЫХ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ВОПРОСАМ ПРОТИВОДЕЙСТВИЯ КОРРУПЦИИ, ОФИЦИАЛЬНЫХ САЙТОВ</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ФЕДЕРАЛЬНЫХ ГОСУДАРСТВЕННЫХ ОРГАНОВ, ЦЕНТРАЛЬНОГО БАНКА</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РОССИЙСКОЙ ФЕДЕРАЦИИ, ПЕНСИОННОГО ФОНДА РОССИЙСКОЙ</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ФЕДЕРАЦИИ, ФОНДА СОЦИАЛЬНОГО СТРАХОВАНИЯ РОССИЙСКОЙ</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ФЕДЕРАЦИИ, ФЕДЕРАЛЬНОГО ФОНДА ОБЯЗАТЕЛЬНОГО МЕДИЦИНСКОГО</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СТРАХОВАНИЯ, ГОСУДАРСТВЕННЫХ КОРПОРАЦИЙ (КОМПАНИЙ), ИНЫХ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ОРГАНИЗАЦИЙ, СОЗДАННЫХ НА ОСНОВАНИИ ФЕДЕРАЛЬНЫХ ЗАКОНОВ</w:t>
      </w:r>
    </w:p>
    <w:p>
      <w:pPr>
        <w:pStyle w:val="ConsPlusNormal"/>
        <w:bidi w:val="0"/>
        <w:ind w:hanging="0" w:left="0" w:right="0"/>
        <w:rPr>
          <w:rFonts w:ascii="Times New Roman" w:hAnsi="Times New Roman" w:cs="Times New Roman"/>
          <w:sz w:val="24"/>
          <w:szCs w:val="24"/>
        </w:rPr>
      </w:pPr>
      <w:r>
        <w:rPr>
          <w:rFonts w:cs="Times New Roman" w:ascii="Times New Roman" w:hAnsi="Times New Roman"/>
          <w:sz w:val="24"/>
          <w:szCs w:val="24"/>
        </w:rPr>
      </w:r>
    </w:p>
    <w:tbl>
      <w:tblPr>
        <w:tblW w:w="10208" w:type="dxa"/>
        <w:jc w:val="left"/>
        <w:tblInd w:w="0" w:type="dxa"/>
        <w:tblLayout w:type="fixed"/>
        <w:tblCellMar>
          <w:top w:w="0" w:type="dxa"/>
          <w:left w:w="0" w:type="dxa"/>
          <w:bottom w:w="0" w:type="dxa"/>
          <w:right w:w="0" w:type="dxa"/>
        </w:tblCellMar>
      </w:tblPr>
      <w:tblGrid>
        <w:gridCol w:w="60"/>
        <w:gridCol w:w="112"/>
        <w:gridCol w:w="9922"/>
        <w:gridCol w:w="113"/>
      </w:tblGrid>
      <w:tr>
        <w:trPr/>
        <w:tc>
          <w:tcPr>
            <w:tcW w:w="60" w:type="dxa"/>
            <w:tcBorders/>
            <w:shd w:color="auto" w:fill="CED3F1"/>
          </w:tcPr>
          <w:p>
            <w:pPr>
              <w:pStyle w:val="ConsPlusNormal"/>
              <w:bidi w:val="0"/>
              <w:ind w:hanging="0" w:left="0" w:right="0"/>
              <w:jc w:val="left"/>
              <w:rPr>
                <w:rFonts w:ascii="Times New Roman" w:hAnsi="Times New Roman" w:cs="Times New Roman"/>
                <w:sz w:val="24"/>
                <w:szCs w:val="24"/>
              </w:rPr>
            </w:pPr>
            <w:r>
              <w:rPr>
                <w:rFonts w:cs="Times New Roman" w:ascii="Times New Roman" w:hAnsi="Times New Roman"/>
                <w:sz w:val="24"/>
                <w:szCs w:val="24"/>
              </w:rPr>
            </w:r>
          </w:p>
        </w:tc>
        <w:tc>
          <w:tcPr>
            <w:tcW w:w="112" w:type="dxa"/>
            <w:tcBorders/>
            <w:shd w:color="auto" w:fill="F4F3F8"/>
          </w:tcPr>
          <w:p>
            <w:pPr>
              <w:pStyle w:val="ConsPlusNormal"/>
              <w:bidi w:val="0"/>
              <w:ind w:hanging="0" w:left="0" w:right="0"/>
              <w:jc w:val="left"/>
              <w:rPr>
                <w:rFonts w:ascii="Times New Roman" w:hAnsi="Times New Roman" w:cs="Times New Roman"/>
                <w:sz w:val="24"/>
                <w:szCs w:val="24"/>
              </w:rPr>
            </w:pPr>
            <w:r>
              <w:rPr>
                <w:rFonts w:cs="Times New Roman" w:ascii="Times New Roman" w:hAnsi="Times New Roman"/>
                <w:sz w:val="24"/>
                <w:szCs w:val="24"/>
              </w:rPr>
            </w:r>
          </w:p>
        </w:tc>
        <w:tc>
          <w:tcPr>
            <w:tcW w:w="9922" w:type="dxa"/>
            <w:tcBorders/>
            <w:shd w:color="auto" w:fill="F4F3F8"/>
            <w:tcMar>
              <w:top w:w="113" w:type="dxa"/>
              <w:bottom w:w="113" w:type="dxa"/>
            </w:tcMar>
          </w:tcPr>
          <w:p>
            <w:pPr>
              <w:pStyle w:val="ConsPlusNormal"/>
              <w:bidi w:val="0"/>
              <w:ind w:hanging="0" w:left="0" w:right="0"/>
              <w:jc w:val="center"/>
              <w:rPr>
                <w:rFonts w:ascii="Times New Roman" w:hAnsi="Times New Roman" w:cs="Times New Roman"/>
                <w:color w:val="392C69"/>
                <w:sz w:val="24"/>
                <w:szCs w:val="24"/>
              </w:rPr>
            </w:pPr>
            <w:r>
              <w:rPr>
                <w:rFonts w:cs="Times New Roman" w:ascii="Times New Roman" w:hAnsi="Times New Roman"/>
                <w:color w:val="392C69"/>
                <w:sz w:val="24"/>
                <w:szCs w:val="24"/>
              </w:rPr>
              <w:t>Список изменяющих документов</w:t>
            </w:r>
          </w:p>
          <w:p>
            <w:pPr>
              <w:pStyle w:val="ConsPlusNormal"/>
              <w:bidi w:val="0"/>
              <w:ind w:hanging="0" w:left="0" w:right="0"/>
              <w:jc w:val="center"/>
              <w:rPr/>
            </w:pPr>
            <w:r>
              <w:rPr>
                <w:rFonts w:cs="Times New Roman" w:ascii="Times New Roman" w:hAnsi="Times New Roman"/>
                <w:color w:val="392C69"/>
                <w:sz w:val="24"/>
                <w:szCs w:val="24"/>
              </w:rPr>
              <w:t xml:space="preserve">(в ред. </w:t>
            </w:r>
            <w:hyperlink r:id="rId8"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color w:val="392C69"/>
                <w:sz w:val="24"/>
                <w:szCs w:val="24"/>
              </w:rPr>
              <w:t xml:space="preserve"> Минтруда России от 26.07.2018 N 490н)</w:t>
            </w:r>
          </w:p>
        </w:tc>
        <w:tc>
          <w:tcPr>
            <w:tcW w:w="113" w:type="dxa"/>
            <w:tcBorders/>
            <w:shd w:color="auto" w:fill="F4F3F8"/>
          </w:tcPr>
          <w:p>
            <w:pPr>
              <w:pStyle w:val="ConsPlusNormal"/>
              <w:bidi w:val="0"/>
              <w:ind w:hanging="0" w:left="0" w:right="0"/>
              <w:jc w:val="center"/>
              <w:rPr>
                <w:rFonts w:ascii="Times New Roman" w:hAnsi="Times New Roman" w:cs="Times New Roman"/>
                <w:color w:val="392C69"/>
                <w:sz w:val="24"/>
                <w:szCs w:val="24"/>
              </w:rPr>
            </w:pPr>
            <w:r>
              <w:rPr>
                <w:rFonts w:cs="Times New Roman" w:ascii="Times New Roman" w:hAnsi="Times New Roman"/>
                <w:color w:val="392C69"/>
                <w:sz w:val="24"/>
                <w:szCs w:val="24"/>
              </w:rPr>
            </w:r>
          </w:p>
        </w:tc>
      </w:tr>
    </w:tbl>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Title"/>
        <w:numPr>
          <w:ilvl w:val="0"/>
          <w:numId w:val="0"/>
        </w:numPr>
        <w:bidi w:val="0"/>
        <w:ind w:hanging="0" w:left="0" w:right="0"/>
        <w:jc w:val="center"/>
        <w:outlineLvl w:val="1"/>
        <w:rPr>
          <w:rFonts w:ascii="Times New Roman" w:hAnsi="Times New Roman" w:cs="Times New Roman"/>
          <w:sz w:val="24"/>
          <w:szCs w:val="24"/>
        </w:rPr>
      </w:pPr>
      <w:r>
        <w:rPr>
          <w:rFonts w:cs="Times New Roman" w:ascii="Times New Roman" w:hAnsi="Times New Roman"/>
          <w:sz w:val="24"/>
          <w:szCs w:val="24"/>
        </w:rPr>
        <w:t>I. Общие положения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1. Настоящие требования установлены в целях обеспечения открытости мер по противодействию коррупции, принимаемых федеральными государственными органами, Центральным банком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государственными корпорациями (компаниями), иными организациями, созданными на основании федеральных законов (далее соответственно - государственный орган, Банк России, фонд, корпорация, организация).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 Размещение и наполнение подразделов, посвященных вопросам противодействия коррупции, официальных сайтов государственных органов и их территориальных органов, Банка России и территориальных учреждений Банка России, фондов и их территориальных органов, корпораций, организаций и их филиалов в информационно-телекоммуникационной сети "Интернет" (далее - сайт) осуществляется в соответствии с настоящими требованиями.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9"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3. При наполнении подразделов, посвященных вопросам противодействия коррупции, сайтов информация, отнесенная к </w:t>
      </w:r>
      <w:hyperlink r:id="rId10" w:tgtFrame="Справочная информация: \&quot;Перечень нормативных актов, относящих сведения к категории ограниченного доступа\">
        <w:r>
          <w:rPr>
            <w:rFonts w:cs="Times New Roman" w:ascii="Times New Roman" w:hAnsi="Times New Roman"/>
            <w:color w:val="0000FF"/>
            <w:sz w:val="24"/>
            <w:szCs w:val="24"/>
          </w:rPr>
          <w:t>государственной тайне</w:t>
        </w:r>
      </w:hyperlink>
      <w:r>
        <w:rPr>
          <w:rFonts w:cs="Times New Roman" w:ascii="Times New Roman" w:hAnsi="Times New Roman"/>
          <w:sz w:val="24"/>
          <w:szCs w:val="24"/>
        </w:rPr>
        <w:t xml:space="preserve"> или являющаяся </w:t>
      </w:r>
      <w:hyperlink r:id="rId11" w:tgtFrame="Указ Президента РФ от 06.03.1997 N 188 (ред. от 13.07.2015) \&quot;Об утверждении Перечня сведений конфиденциального характера\&quot;&#10;{КонсультантПлюс}">
        <w:r>
          <w:rPr>
            <w:rFonts w:cs="Times New Roman" w:ascii="Times New Roman" w:hAnsi="Times New Roman"/>
            <w:color w:val="0000FF"/>
            <w:sz w:val="24"/>
            <w:szCs w:val="24"/>
          </w:rPr>
          <w:t>конфиденциальной</w:t>
        </w:r>
      </w:hyperlink>
      <w:r>
        <w:rPr>
          <w:rFonts w:cs="Times New Roman" w:ascii="Times New Roman" w:hAnsi="Times New Roman"/>
          <w:sz w:val="24"/>
          <w:szCs w:val="24"/>
        </w:rPr>
        <w:t>, не размещается.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Title"/>
        <w:numPr>
          <w:ilvl w:val="0"/>
          <w:numId w:val="0"/>
        </w:numPr>
        <w:bidi w:val="0"/>
        <w:ind w:hanging="0" w:left="0" w:right="0"/>
        <w:jc w:val="center"/>
        <w:outlineLvl w:val="1"/>
        <w:rPr>
          <w:rFonts w:ascii="Times New Roman" w:hAnsi="Times New Roman" w:cs="Times New Roman"/>
          <w:sz w:val="24"/>
          <w:szCs w:val="24"/>
        </w:rPr>
      </w:pPr>
      <w:r>
        <w:rPr>
          <w:rFonts w:cs="Times New Roman" w:ascii="Times New Roman" w:hAnsi="Times New Roman"/>
          <w:sz w:val="24"/>
          <w:szCs w:val="24"/>
        </w:rPr>
        <w:t>II. Размещение подразделов, посвященных вопросам</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противодействия коррупции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4. Отдельная гиперссылка на подраздел, посвященный вопросам противодействия коррупции (далее - раздел "Противодействие коррупции"), размещается на главной странице сайта. Размещение указанной гиперссылки в выпадающих окнах не допускается.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4 в ред. </w:t>
      </w:r>
      <w:hyperlink r:id="rId12"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5. Доступ в раздел "Противодействие коррупции" осуществляется с главной страницы сайта путем последовательного перехода по гиперссылке. Количество таких переходов (по кратчайшей последовательности) должно быть не более одного, в том числе на мобильной версии сайта.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5 в ред. </w:t>
      </w:r>
      <w:hyperlink r:id="rId13"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Title"/>
        <w:numPr>
          <w:ilvl w:val="0"/>
          <w:numId w:val="0"/>
        </w:numPr>
        <w:bidi w:val="0"/>
        <w:ind w:hanging="0" w:left="0" w:right="0"/>
        <w:jc w:val="center"/>
        <w:outlineLvl w:val="1"/>
        <w:rPr>
          <w:rFonts w:ascii="Times New Roman" w:hAnsi="Times New Roman" w:cs="Times New Roman"/>
          <w:sz w:val="24"/>
          <w:szCs w:val="24"/>
        </w:rPr>
      </w:pPr>
      <w:r>
        <w:rPr>
          <w:rFonts w:cs="Times New Roman" w:ascii="Times New Roman" w:hAnsi="Times New Roman"/>
          <w:sz w:val="24"/>
          <w:szCs w:val="24"/>
        </w:rPr>
        <w:t>III. Требования к наполнению подразделов, посвященных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вопросам противодействия коррупции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6. В разделе "Противодействие коррупции" сайтов содержатся последовательные ссылки на следующие подразделы:</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14"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"Нормативные правовые и иные акты в сфере противодействия коррупции";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"Антикоррупционная экспертиза";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"Методические материалы";</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"Формы документов, связанных с противодействием коррупции, для заполнения";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"Сведения о доходах, расходах, об имуществе и обязательствах имущественного характера";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"Комиссия по соблюдению требований к служебному поведению и урегулированию конфликта интересов (аттестационная комиссия) &lt;1&gt;";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&lt;1&gt; В соответствии с </w:t>
      </w:r>
      <w:hyperlink r:id="rId15" w:tgtFrame="Указ Президента РФ от 01.07.2010 N 821 (ред. от 19.09.2017) \&quot;О комиссиях по соблюдению требований к служебному поведению федеральных государственных служащих и урегулированию конфликта интересов\">
        <w:r>
          <w:rPr>
            <w:rFonts w:cs="Times New Roman" w:ascii="Times New Roman" w:hAnsi="Times New Roman"/>
            <w:color w:val="0000FF"/>
            <w:sz w:val="24"/>
            <w:szCs w:val="24"/>
          </w:rPr>
          <w:t>пунктом 2</w:t>
        </w:r>
      </w:hyperlink>
      <w:r>
        <w:rPr>
          <w:rFonts w:cs="Times New Roman" w:ascii="Times New Roman" w:hAnsi="Times New Roman"/>
          <w:sz w:val="24"/>
          <w:szCs w:val="24"/>
        </w:rPr>
        <w:t xml:space="preserve"> Указа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 2013, N 14, ст. 1670) вопросы, изложенные в </w:t>
      </w:r>
      <w:hyperlink r:id="rId16" w:tgtFrame="Указ Президента РФ от 01.07.2010 N 821 (ред. от 19.09.2017) \&quot;О комиссиях по соблюдению требований к служебному поведению федеральных государственных служащих и урегулированию конфликта интересов\">
        <w:r>
          <w:rPr>
            <w:rFonts w:cs="Times New Roman" w:ascii="Times New Roman" w:hAnsi="Times New Roman"/>
            <w:color w:val="0000FF"/>
            <w:sz w:val="24"/>
            <w:szCs w:val="24"/>
          </w:rPr>
          <w:t>пункте 16</w:t>
        </w:r>
      </w:hyperlink>
      <w:r>
        <w:rPr>
          <w:rFonts w:cs="Times New Roman" w:ascii="Times New Roman" w:hAnsi="Times New Roman"/>
          <w:sz w:val="24"/>
          <w:szCs w:val="24"/>
        </w:rPr>
        <w:t xml:space="preserve"> Положения, утвержденного данным Указом, рассматриваются в федеральных государственных органах, названных в </w:t>
      </w:r>
      <w:hyperlink r:id="rId17" w:tgtFrame="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10;{КонсультантПлюс}">
        <w:r>
          <w:rPr>
            <w:rFonts w:cs="Times New Roman" w:ascii="Times New Roman" w:hAnsi="Times New Roman"/>
            <w:color w:val="0000FF"/>
            <w:sz w:val="24"/>
            <w:szCs w:val="24"/>
          </w:rPr>
          <w:t>разделе II</w:t>
        </w:r>
      </w:hyperlink>
      <w:r>
        <w:rPr>
          <w:rFonts w:cs="Times New Roman" w:ascii="Times New Roman" w:hAnsi="Times New Roman"/>
          <w:sz w:val="24"/>
          <w:szCs w:val="24"/>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в отношении лиц, замещающих должности федеральной государственной гражданской службы, - комиссиями по соблюдению требований к служебному поведению федеральных государственных служащих и урегулированию конфликта интересов;</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в отношении лиц, замещающих должности федеральной государственной службы иных видов, - соответствующими аттестационными комиссиями.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"Обратная связь для сообщений о фактах коррупции".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 руководителем государственного органа, председателем Банка России, фонда, руководителем корпорации, организации.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8. Подраздел "Нормативные правовые и иные акты в сфере противодействия коррупции" содержит:</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(www.pravo.gov.ru). Список гиперссылок должен быть структурирован по видам нормативных правовых актов: федеральные законы, указы Президента Российской Федерации, постановления Правительства Российской Федерации; иные нормативные правовые акты;</w:t>
      </w:r>
    </w:p>
    <w:p>
      <w:pPr>
        <w:pStyle w:val="ConsPlusNormal"/>
        <w:bidi w:val="0"/>
        <w:spacing w:before="200" w:after="0"/>
        <w:ind w:firstLine="540" w:left="0" w:right="0"/>
        <w:jc w:val="both"/>
        <w:rPr>
          <w:rFonts w:ascii="Times New Roman" w:hAnsi="Times New Roman" w:cs="Times New Roman"/>
          <w:sz w:val="24"/>
          <w:szCs w:val="24"/>
        </w:rPr>
      </w:pPr>
      <w:bookmarkStart w:id="1" w:name="Par96"/>
      <w:bookmarkEnd w:id="1"/>
      <w:r>
        <w:rPr>
          <w:rFonts w:cs="Times New Roman" w:ascii="Times New Roman" w:hAnsi="Times New Roman"/>
          <w:sz w:val="24"/>
          <w:szCs w:val="24"/>
        </w:rP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план по противодействию коррупции;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перечень должностей, при замещении которых федеральные государственные служащие, служащие Банка России, работники фондов, корпораций, организаций (далее - служащие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в соответствии с </w:t>
      </w:r>
      <w:hyperlink r:id="rId18" w:tgtFrame="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10;{КонсультантПлюс}">
        <w:r>
          <w:rPr>
            <w:rFonts w:cs="Times New Roman" w:ascii="Times New Roman" w:hAnsi="Times New Roman"/>
            <w:color w:val="0000FF"/>
            <w:sz w:val="24"/>
            <w:szCs w:val="24"/>
          </w:rPr>
          <w:t>разделом III</w:t>
        </w:r>
      </w:hyperlink>
      <w:r>
        <w:rPr>
          <w:rFonts w:cs="Times New Roman" w:ascii="Times New Roman" w:hAnsi="Times New Roman"/>
          <w:sz w:val="24"/>
          <w:szCs w:val="24"/>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&lt;2&gt;;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&lt;2&gt; Собрание законодательства Российской Федерации, 2009, N 21, ст. 2542; 2012, N 4, ст. 471; N 14, ст. 1616; 2014, N 27, ст. 3754; 2015, N 10, ст. 1506; 2016, N 50, ст. 7077; 2017, N 5, ст. 776; N 27, ст. 4019; N 40, ст. 5820; 2018, N 28, ст. 4198.</w:t>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перечень должностей в организациях, созданных для выполнения задач, поставленных перед государственными органами, при назначении на которые граждане и при замещении которых работники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государственным органом;</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порядок представления сведений о доходах, расходах, об имуществе и обязательствах имущественного характера;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порядок уведомления представителя нанимателя (работодателя) о фактах обращения в целях склонения служащего (работника) к совершению коррупционных правонарушений;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положение о подразделении по профилактике коррупционных или иных правонарушений;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перечень должностей, при замещении которых служащим (работникам)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кодекс этики и служебного поведения служащих (работников);</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иные нормативные акты (локальные нормативные акты) по вопросам противодействия коррупции, размещение которых будет признано целесообразным.</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"б" в ред. </w:t>
      </w:r>
      <w:hyperlink r:id="rId19"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9. Нормативные правовые и иные акты в сфере противодействия коррупции (далее - нормативные и иные акты), указанные в </w:t>
      </w:r>
      <w:hyperlink w:anchor="Par96" w:tgtFrame="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
        <w:r>
          <w:rPr>
            <w:rFonts w:cs="Times New Roman" w:ascii="Times New Roman" w:hAnsi="Times New Roman"/>
            <w:color w:val="0000FF"/>
            <w:sz w:val="24"/>
            <w:szCs w:val="24"/>
          </w:rPr>
          <w:t>подпункте "б" пункта 8</w:t>
        </w:r>
      </w:hyperlink>
      <w:r>
        <w:rPr>
          <w:rFonts w:cs="Times New Roman" w:ascii="Times New Roman" w:hAnsi="Times New Roman"/>
          <w:sz w:val="24"/>
          <w:szCs w:val="24"/>
        </w:rPr>
        <w:t xml:space="preserve"> настоящих требований, размещаются в виде текста в формате (в одном или нескольких из следующих форматов: .DOC, .DOCX, .RTF, .PDF), обеспечивающем возможность поиска и копирования фрагментов текста средствами веб-обозревателя ("гипертекстовый формат"). Нормативные и иные акты могут дополнительно размещаться в графическом формате в виде графических образов их оригиналов ("графический формат").</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Размещение нормативных и иных актов в иных форматах, а также в виде сканированных документов, требующих дополнительного распознавания, не допускается.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номер регистрации в Минюсте России (при наличии).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Нормативные и иные акты должны размещаться в действующей редакции.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(www.regulation.gov.ru).</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В данном подразделе размещаются как методические материалы по вопросам противодействия коррупции, самостоятельно разработанные государственным органом, Банком России, фондом, корпорацией, организацией, так и гиперссылки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в том числе подготовленным Минтрудом России, размещенным на сайте Минтруда России (https://rosmintrud.ru/ministry/programms/anticorruption), а также на специализированном информационно-методическом ресурсе по вопросам противодействия коррупции на базе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(https://gossluzhba.gov.ru/anticorruption).</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20"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 .DOC, .DOCX, .RTF, .PDF, .PPT, .PPTX), обеспечивающем возможность поиска и копирования фрагментов текста средствами веб-обозревателя ("гипертекстовый формат"). Размещение в иных форматах, а также в виде сканированных документов, требующих дополнительного распознавания, не допускается.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21"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12. 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справки о доходах, расходах, об имуществе и обязательствах имущественного характера, заполняемых гражданами, лицами, замещающими государственные должности Российской Федерации, служащими (работниками) в рамках реализации </w:t>
      </w:r>
      <w:hyperlink r:id="rId22" w:tgtFrame="Федеральный закон от 25.12.2008 N 273-ФЗ (ред. от 26.05.2021) \&quot;О противодействии коррупции\&quot;&#10;{КонсультантПлюс}">
        <w:r>
          <w:rPr>
            <w:rFonts w:cs="Times New Roman" w:ascii="Times New Roman" w:hAnsi="Times New Roman"/>
            <w:color w:val="0000FF"/>
            <w:sz w:val="24"/>
            <w:szCs w:val="24"/>
          </w:rPr>
          <w:t>законодательства</w:t>
        </w:r>
      </w:hyperlink>
      <w:r>
        <w:rPr>
          <w:rFonts w:cs="Times New Roman" w:ascii="Times New Roman" w:hAnsi="Times New Roman"/>
          <w:sz w:val="24"/>
          <w:szCs w:val="24"/>
        </w:rPr>
        <w:t xml:space="preserve"> о противодействии коррупции: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23"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обращение гражданина, юридического лица по фактам коррупционных правонарушений;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обращение гражданина, замещавшего в государственном органе должность государственной службы, включенную в перечень должностей, утвержденный нормативным правовым актом Российской Федерации (</w:t>
      </w:r>
      <w:hyperlink r:id="rId24" w:tgtFrame="Федеральный закон от 25.12.2008 N 273-ФЗ (ред. от 26.05.2021) \&quot;О противодействии коррупции\&quot;&#10;{КонсультантПлюс}">
        <w:r>
          <w:rPr>
            <w:rFonts w:cs="Times New Roman" w:ascii="Times New Roman" w:hAnsi="Times New Roman"/>
            <w:color w:val="0000FF"/>
            <w:sz w:val="24"/>
            <w:szCs w:val="24"/>
          </w:rPr>
          <w:t>статья 12</w:t>
        </w:r>
      </w:hyperlink>
      <w:r>
        <w:rPr>
          <w:rFonts w:cs="Times New Roman" w:ascii="Times New Roman" w:hAnsi="Times New Roman"/>
          <w:sz w:val="24"/>
          <w:szCs w:val="24"/>
        </w:rPr>
        <w:t xml:space="preserve"> Федерального закона от 25 декабря 2008 г. N 273-ФЗ "О противодействии коррупции (Собрание законодательства Российской Федерации, 2008, N 52, ст. 6228; 2011, N 48, ст. 6730; 2018, N 32, ст. 5100),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службы;</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"б" в ред. </w:t>
      </w:r>
      <w:hyperlink r:id="rId25"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в) уведомление представителя нанимателя (работодателя) о намерении выполнять иную оплачиваемую работу;</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г) уведомление представителя нанимателя (работодателя) о фактах обращения в целях склонения служащего (работника) к совершению коррупционных правонарушений;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д) уведомление представителя нанимателя (работодателя) и своего непосредственного начальника о возникшем конфликте интересов или о возможности его возникновения;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е) заявление служащего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ж) справка о доходах, расходах, об имуществе и обязательствах имущественного характера;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"ж" в ред. </w:t>
      </w:r>
      <w:hyperlink r:id="rId26"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з) уведомление о получении подарка;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"з" в ред. </w:t>
      </w:r>
      <w:hyperlink r:id="rId27"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и) заявление о выкупе подарка;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"и" в ред. </w:t>
      </w:r>
      <w:hyperlink r:id="rId28"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к) иные формы документов, связанные с противодействием коррупции, для заполнения, размещение которых будет признано целесообразным;</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(пп. "к" в ред. </w:t>
      </w:r>
      <w:hyperlink r:id="rId29"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л) справка о расходах лица, замещающего государственную должность Российской Федерации, иного лица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об источниках получения средств, за счет которых совершена указанная сделка.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Также данный подраздел должен содержать гиперссылку, перекрестную с гиперссылкой, при переходе по которой осуществляется доступ к специальному программному обеспечению "Справки БК",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(абзац введен </w:t>
      </w:r>
      <w:hyperlink r:id="rId30"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Приказом</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.PDF,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31"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14. Подраздел "Сведения о доходах, расходах, об имуществе и обязательствах имущественного характера" обеспечивает доступ к сведениям о доходах, расходах, об имуществе и обязательствах имущественного характера, предусмотренных </w:t>
      </w:r>
      <w:hyperlink r:id="rId32" w:tgtFrame="Указ Президента РФ от 08.07.2013 N 613 (ред. от 10.12.2020) \&quot;Вопросы противодействия коррупции\">
        <w:r>
          <w:rPr>
            <w:rFonts w:cs="Times New Roman" w:ascii="Times New Roman" w:hAnsi="Times New Roman"/>
            <w:color w:val="0000FF"/>
            <w:sz w:val="24"/>
            <w:szCs w:val="24"/>
          </w:rPr>
          <w:t>пунктом 2</w:t>
        </w:r>
      </w:hyperlink>
      <w:r>
        <w:rPr>
          <w:rFonts w:cs="Times New Roman" w:ascii="Times New Roman" w:hAnsi="Times New Roman"/>
          <w:sz w:val="24"/>
          <w:szCs w:val="24"/>
        </w:rPr>
        <w:t xml:space="preserve">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 утвержденного Указом Президента Российской Федерации от 8 июля 2013 г. N 613 "Вопросы противодействия коррупции" &lt;1&gt; (далее - Порядок).</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&lt;1&gt; Собрание законодательства Российской Федерации, 2013, N 28, ст. 3813.</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15. Сведения о доходах, расходах, об имуществе и обязательствах имущественного характера размещаются в течение 14 рабочих дней со дня истечения срока, установленного для их подачи: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33"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без ограничения доступа к ним третьих лиц;</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в табличной форме согласно приложению к настоящим требованиям, в гипертекстовом формате и (или) в виде приложенных файлов в одном или нескольких из следующих форматов: .DOC, .DOCX, .XLS, .XLSX, .RTF. При этом должна быть обеспечена возможность поиска по тексту файла и копирования фрагментов текста.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34"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16. Сведения о доходах, расходах, об имуществе и обязательствах имущественного характера, сгруппированные по самостоятельным структурным подразделениям (департаментам, управлениям, отделам), территориальным органам (территориальным учреждениям, филиалам), размещаются в одном (едином) файле в виде таблицы либо в виде файлов.</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16 в ред. </w:t>
      </w:r>
      <w:hyperlink r:id="rId35"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17. В случае если в соответствии с Порядком сведения о доходах, расходах, имуществе и обязательствах имущественного характера лица, замещающего государственную должность Российской Федерации, служащего (работника) размещаются на сайте другого государственного органа, то на сайте государственного органа, Банка России, фонда, корпорации, организации, а также подведомственной государственному органу организации, в котором служащий (работник) замещает (занимает) должность либо является его руководителем (заместителем руководителя), располагается гиперссылка, обеспечивающая доступ к подразделу "Сведения о доходах, расходах, об имуществе и обязательствах имущественного характера" соответствующего сайта, где такие сведения размещены.</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18. Не допускается: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размещение на сайтах заархивированных сведений (формат .rar, .zip), сканированных документов;</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размещение в разных форматах на сайтах сведений о доходах, расходах, об имуществе и обязательствах имущественного характера за предыдущий трехлетний период;</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в) использование на сайтах форматов, требующих дополнительного распознавания;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г) установление кодов безопасности для доступа к сведениям о доходах, расходах, об имуществе и обязательствах имущественного характера;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д) запрашивание фамилии и инициалов лица, замещающего государственную должность Российской Федерации, фамилии и инициалов, должности служащего (работника) для предоставления доступа к размещенным о нем сведениям, запрашивание любых сведений у лица, осуществляющего доступ к размещенным сведениям.</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19. Размещенные на сайтах сведения о доходах, расходах, об имуществе и обязательствах имущественного характера, в том числе за предшествующие годы, находятся в открытом доступе и не подлежат удалению.</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19 в ред. </w:t>
      </w:r>
      <w:hyperlink r:id="rId36"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20. При представлении лицом, замещающим государственную должность Российской Федерации, служащим (работником) уточненных сведений о доходах, об имуществе и обязательствах имущественного характера соответствующие изменения вносятся в размещенные на сайте сведения о доходах, расходах, об имуществе и обязательствах имущественного характера не позднее 14 рабочих дней после окончания срока, установленного для представления уточненных сведений.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21 - 24. Утратили силу. - </w:t>
      </w:r>
      <w:hyperlink r:id="rId37"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25. Подраздел "Комиссия по соблюдению требований к служебному поведению и урегулированию конфликта интересов (аттестационная комиссия)" обеспечивает доступ к информации о деятельности комиссии по соблюдению требований к служебному поведению и урегулированию конфликта интересов (аттестационной комиссии) (далее - комиссии), в том числе содержащей: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состав комиссии, включая членов комиссии, обладающих правом совещательного голоса, с указанием фамилии и инициалов, занимаемой должности (для представителей научных организаций и образовательных учреждений среднего, высшего и дополнительного профессионального образования - с указанием также и места работы);</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Положение о комиссии;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в) сведения о состоявшемся заседании комиссии, принятых решениях;</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(в ред. </w:t>
      </w:r>
      <w:hyperlink r:id="rId38"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г) утратил силу. - </w:t>
      </w:r>
      <w:hyperlink r:id="rId39"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26. Сведения о составе комиссии должны размещаться в виде приложенного файла в одном или нескольких из следующих форматов: .DOC, .DOCX, .RTF, .PDF, обеспечивающем возможность поиска и копирования фрагментов текста средствами веб-обозревателя ("гипертекстовый формат").</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t xml:space="preserve">(п. 26 в ред. </w:t>
      </w:r>
      <w:hyperlink r:id="rId40" w:tgtFrame="Приказ Минтруда России от 26.07.2018 N 490н \&quot;О внесении изменений в приказ Министерства труда и социальной защиты Российской Федерации от 7 октября 2013 г. N 530н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10;{КонсультантПлюс}">
        <w:r>
          <w:rPr>
            <w:rFonts w:cs="Times New Roman" w:ascii="Times New Roman" w:hAnsi="Times New Roman"/>
            <w:color w:val="0000FF"/>
            <w:sz w:val="24"/>
            <w:szCs w:val="24"/>
          </w:rPr>
          <w:t>Приказа</w:t>
        </w:r>
      </w:hyperlink>
      <w:r>
        <w:rPr>
          <w:rFonts w:cs="Times New Roman" w:ascii="Times New Roman" w:hAnsi="Times New Roman"/>
          <w:sz w:val="24"/>
          <w:szCs w:val="24"/>
        </w:rPr>
        <w:t xml:space="preserve"> Минтруда России от 26.07.2018 N 490н)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27. В подразделе "Комиссия по соблюдению требований к служебному поведению и урегулированию конфликта интересов (аттестационная комиссия)" при размещении сведений о принятых комиссиями решениях указываются: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основание для проведения заседания комиссии;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принятое комиссией решение, в том числе ключевые детали рассмотренного комиссией вопроса, например, осуществление в государственном органе, Банке России, фонде, корпорации, организации мер по предупреждению коррупции; факты, свидетельствующие о предоставлении служащим (работником) неполных и (или) недостоверных сведений о доходах, расходах, об имуществе и обязательствах имущественного характера; причины непредставления служащим (работником) сведений о доходах, об имуществе и обязательствах имущественного характера супруги (супруга) и несовершеннолетних детей; название и род деятельности организации, в которую планирует устроиться на работу бывший служащий, и содержание выполнявшихся им ранее должностных обязанностей.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Учитывая, что решения комиссии могут содержать персональные данные, исходя из положения </w:t>
      </w:r>
      <w:hyperlink r:id="rId41" w:tgtFrame="Федеральный закон от 27.07.2006 N 152-ФЗ (ред. от 30.12.2020) \&quot;О персональных данных\">
        <w:r>
          <w:rPr>
            <w:rFonts w:cs="Times New Roman" w:ascii="Times New Roman" w:hAnsi="Times New Roman"/>
            <w:color w:val="0000FF"/>
            <w:sz w:val="24"/>
            <w:szCs w:val="24"/>
          </w:rPr>
          <w:t>пункта 11 части 1 статьи 6</w:t>
        </w:r>
      </w:hyperlink>
      <w:r>
        <w:rPr>
          <w:rFonts w:cs="Times New Roman" w:ascii="Times New Roman" w:hAnsi="Times New Roman"/>
          <w:sz w:val="24"/>
          <w:szCs w:val="24"/>
        </w:rPr>
        <w:t xml:space="preserve"> Федерального закона от 27 июля 2006 г. N 152-ФЗ "О персональных данных" &lt;1&gt;, опубликование данных решений осуществляется с обезличиванием персональных данных, например, с указанием замещаемой служащим (работником) должности, но без указания фамилии и инициалов, структурного подразделения государственного органа, Банка России, фонда, корпорации, организации.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&lt;1&gt; Собрание законодательства Российской Федерации, 2006, N 31, ст. 3451; 2009, N 48, ст. 5716; 2009, N 48, ст. 5716; 2011, N 23, ст. 3263; N 31, ст. 4701; 2013, N 14, ст. 1651.</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28. Подраздел "Обратная связь для сообщений о фактах коррупции" содержит гиперссылку, перекрестную с гиперссылкой, при переходе по которой осуществляется доступ к подразделу "Обращения граждан", включающему в том числе информацию о:</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а) нормативном правовом акте, регламентирующем порядок рассмотрения обращений граждан;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б) способах для граждан и юридических лиц беспрепятственно направлять свои обращения в государственный орган, Банк России, фонд, корпорацию, организацию (информация о работе "горячей линии", "телефона доверия", отправке почтовых сообщений, форма направления сообщений гражданами и организациями через сайт).</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numPr>
          <w:ilvl w:val="0"/>
          <w:numId w:val="0"/>
        </w:numPr>
        <w:bidi w:val="0"/>
        <w:ind w:hanging="0" w:left="0" w:right="0"/>
        <w:jc w:val="right"/>
        <w:outlineLvl w:val="1"/>
        <w:rPr>
          <w:rFonts w:ascii="Times New Roman" w:hAnsi="Times New Roman" w:cs="Times New Roman"/>
          <w:sz w:val="24"/>
          <w:szCs w:val="24"/>
        </w:rPr>
      </w:pPr>
      <w:r>
        <w:rPr>
          <w:rFonts w:cs="Times New Roman" w:ascii="Times New Roman" w:hAnsi="Times New Roman"/>
          <w:sz w:val="24"/>
          <w:szCs w:val="24"/>
        </w:rPr>
        <w:t>Приложение</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к требованиям к размещению</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и наполнению подразделов,</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посвященных вопросам противодействия</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коррупции, официальных сайтов</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федеральных государственных органов,</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Центрального банка Российской</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Федерации, Пенсионного фонда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Российской Федерации, Фонда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социального страхования Российской</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Федерации, Федерального фонда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обязательного медицинского страхования,</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государственных корпораций (компаний),</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иных организаций, созданных</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на основании федеральных законов,</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утвержденным приказом Министерства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труда и социальной защиты</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Российской Федерации</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от 7 октября 2013 г. N 530н</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Форма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center"/>
        <w:rPr>
          <w:rFonts w:ascii="Times New Roman" w:hAnsi="Times New Roman" w:cs="Times New Roman"/>
          <w:sz w:val="24"/>
          <w:szCs w:val="24"/>
        </w:rPr>
      </w:pPr>
      <w:r>
        <w:rPr>
          <w:rFonts w:cs="Times New Roman" w:ascii="Times New Roman" w:hAnsi="Times New Roman"/>
          <w:sz w:val="24"/>
          <w:szCs w:val="24"/>
        </w:rPr>
        <w:t>Сведения о доходах, расходах,</w:t>
      </w:r>
    </w:p>
    <w:p>
      <w:pPr>
        <w:pStyle w:val="ConsPlusNormal"/>
        <w:bidi w:val="0"/>
        <w:ind w:hanging="0" w:left="0" w:right="0"/>
        <w:jc w:val="center"/>
        <w:rPr>
          <w:rFonts w:ascii="Times New Roman" w:hAnsi="Times New Roman" w:cs="Times New Roman"/>
          <w:sz w:val="24"/>
          <w:szCs w:val="24"/>
        </w:rPr>
      </w:pPr>
      <w:r>
        <w:rPr>
          <w:rFonts w:cs="Times New Roman" w:ascii="Times New Roman" w:hAnsi="Times New Roman"/>
          <w:sz w:val="24"/>
          <w:szCs w:val="24"/>
        </w:rPr>
        <w:t>об имуществе и обязательствах имущественного характера</w:t>
      </w:r>
    </w:p>
    <w:p>
      <w:pPr>
        <w:pStyle w:val="ConsPlusNormal"/>
        <w:bidi w:val="0"/>
        <w:ind w:hanging="0" w:left="0" w:right="0"/>
        <w:jc w:val="center"/>
        <w:rPr>
          <w:rFonts w:ascii="Times New Roman" w:hAnsi="Times New Roman" w:cs="Times New Roman"/>
          <w:sz w:val="24"/>
          <w:szCs w:val="24"/>
        </w:rPr>
      </w:pPr>
      <w:r>
        <w:rPr>
          <w:rFonts w:cs="Times New Roman" w:ascii="Times New Roman" w:hAnsi="Times New Roman"/>
          <w:sz w:val="24"/>
          <w:szCs w:val="24"/>
        </w:rPr>
        <w:t>за период с 1 января 20__ г. по 31 декабря 20__ г.</w:t>
      </w:r>
    </w:p>
    <w:p>
      <w:pPr>
        <w:sectPr>
          <w:footerReference w:type="default" r:id="rId42"/>
          <w:type w:val="nextPage"/>
          <w:pgSz w:w="11906" w:h="16838"/>
          <w:pgMar w:left="1133" w:right="566" w:gutter="0" w:header="0" w:top="1440" w:footer="0" w:bottom="1440"/>
          <w:pgNumType w:fmt="decimal"/>
          <w:formProt w:val="false"/>
          <w:textDirection w:val="lrTb"/>
          <w:docGrid w:type="default" w:linePitch="100" w:charSpace="0"/>
        </w:sect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bl>
      <w:tblPr>
        <w:tblW w:w="22342" w:type="dxa"/>
        <w:jc w:val="left"/>
        <w:tblInd w:w="5" w:type="dxa"/>
        <w:tblLayout w:type="fixed"/>
        <w:tblCellMar>
          <w:top w:w="102" w:type="dxa"/>
          <w:left w:w="62" w:type="dxa"/>
          <w:bottom w:w="102" w:type="dxa"/>
          <w:right w:w="62" w:type="dxa"/>
        </w:tblCellMar>
      </w:tblPr>
      <w:tblGrid>
        <w:gridCol w:w="542"/>
        <w:gridCol w:w="2916"/>
        <w:gridCol w:w="1564"/>
        <w:gridCol w:w="1128"/>
        <w:gridCol w:w="2016"/>
        <w:gridCol w:w="1217"/>
        <w:gridCol w:w="1968"/>
        <w:gridCol w:w="1131"/>
        <w:gridCol w:w="1218"/>
        <w:gridCol w:w="1970"/>
        <w:gridCol w:w="1984"/>
        <w:gridCol w:w="2478"/>
        <w:gridCol w:w="2209"/>
      </w:tblGrid>
      <w:tr>
        <w:trPr/>
        <w:tc>
          <w:tcPr>
            <w:tcW w:w="542"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N п/п</w:t>
            </w:r>
          </w:p>
        </w:tc>
        <w:tc>
          <w:tcPr>
            <w:tcW w:w="2916"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Фамилия и инициалы лица, чьи сведения размещаются</w:t>
            </w:r>
          </w:p>
        </w:tc>
        <w:tc>
          <w:tcPr>
            <w:tcW w:w="1564"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Должность</w:t>
            </w:r>
          </w:p>
        </w:tc>
        <w:tc>
          <w:tcPr>
            <w:tcW w:w="6329" w:type="dxa"/>
            <w:gridSpan w:val="4"/>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Объекты недвижимости, находящиеся в собственности</w:t>
            </w:r>
          </w:p>
        </w:tc>
        <w:tc>
          <w:tcPr>
            <w:tcW w:w="4319" w:type="dxa"/>
            <w:gridSpan w:val="3"/>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Объекты недвижимости, находящиеся в пользовании</w:t>
            </w:r>
          </w:p>
        </w:tc>
        <w:tc>
          <w:tcPr>
            <w:tcW w:w="1984"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Транспортные средства (вид, марка)</w:t>
            </w:r>
          </w:p>
        </w:tc>
        <w:tc>
          <w:tcPr>
            <w:tcW w:w="2478"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 xml:space="preserve">Декларированный годовой доход </w:t>
            </w:r>
            <w:hyperlink w:anchor="Par303" w:tgtFrame="&lt;1&gt; В случае если в отчетном периоде лицу, замещающему государственную должность Российской Федерации, служащему (работник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
              <w:r>
                <w:rPr>
                  <w:rFonts w:cs="Times New Roman" w:ascii="Times New Roman" w:hAnsi="Times New Roman"/>
                  <w:color w:val="0000FF"/>
                  <w:sz w:val="24"/>
                  <w:szCs w:val="24"/>
                </w:rPr>
                <w:t>&lt;1&gt;</w:t>
              </w:r>
            </w:hyperlink>
            <w:r>
              <w:rPr>
                <w:rFonts w:cs="Times New Roman" w:ascii="Times New Roman" w:hAnsi="Times New Roman"/>
                <w:sz w:val="24"/>
                <w:szCs w:val="24"/>
              </w:rPr>
              <w:t xml:space="preserve"> (руб.)</w:t>
            </w:r>
          </w:p>
        </w:tc>
        <w:tc>
          <w:tcPr>
            <w:tcW w:w="2209" w:type="dxa"/>
            <w:vMerge w:val="restart"/>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 xml:space="preserve">Сведения об источниках получения средств, за счет которых совершена сделка </w:t>
            </w:r>
            <w:hyperlink w:anchor="Par304" w:tgtFrame="&lt;2&gt; Сведения указываются, если сумма сделки превышает общий доход лица, замещающего государственную должность Российской Федерации, служащего (работника) и его супруги (супруга) за три последних года, предшествующих совершению сделки.">
              <w:r>
                <w:rPr>
                  <w:rFonts w:cs="Times New Roman" w:ascii="Times New Roman" w:hAnsi="Times New Roman"/>
                  <w:color w:val="0000FF"/>
                  <w:sz w:val="24"/>
                  <w:szCs w:val="24"/>
                </w:rPr>
                <w:t>&lt;2&gt;</w:t>
              </w:r>
            </w:hyperlink>
            <w:r>
              <w:rPr>
                <w:rFonts w:cs="Times New Roman" w:ascii="Times New Roman" w:hAnsi="Times New Roman"/>
                <w:sz w:val="24"/>
                <w:szCs w:val="24"/>
              </w:rPr>
              <w:t xml:space="preserve"> (вид приобретенного имущества, источники)</w:t>
            </w:r>
          </w:p>
        </w:tc>
      </w:tr>
      <w:tr>
        <w:trPr/>
        <w:tc>
          <w:tcPr>
            <w:tcW w:w="542"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c>
          <w:tcPr>
            <w:tcW w:w="2916"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c>
          <w:tcPr>
            <w:tcW w:w="1564"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вид объекта</w:t>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вид собственности</w:t>
            </w:r>
          </w:p>
        </w:tc>
        <w:tc>
          <w:tcPr>
            <w:tcW w:w="1217"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площадь (кв. м)</w:t>
            </w:r>
          </w:p>
        </w:tc>
        <w:tc>
          <w:tcPr>
            <w:tcW w:w="196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страна расположения</w:t>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вид объекта</w:t>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площадь (кв. м)</w:t>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pPr>
            <w:r>
              <w:rPr>
                <w:rFonts w:cs="Times New Roman" w:ascii="Times New Roman" w:hAnsi="Times New Roman"/>
                <w:sz w:val="24"/>
                <w:szCs w:val="24"/>
              </w:rPr>
              <w:t>страна расположения</w:t>
            </w:r>
          </w:p>
        </w:tc>
        <w:tc>
          <w:tcPr>
            <w:tcW w:w="1984"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c>
          <w:tcPr>
            <w:tcW w:w="2478"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c>
          <w:tcPr>
            <w:tcW w:w="2209" w:type="dxa"/>
            <w:vMerge w:val="continue"/>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center"/>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left"/>
              <w:rPr/>
            </w:pPr>
            <w:r>
              <w:rPr>
                <w:rFonts w:cs="Times New Roman" w:ascii="Times New Roman" w:hAnsi="Times New Roman"/>
                <w:sz w:val="24"/>
                <w:szCs w:val="24"/>
              </w:rPr>
              <w:t>1.</w:t>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tabs>
                <w:tab w:val="clear" w:pos="720"/>
              </w:tabs>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left"/>
              <w:rPr/>
            </w:pPr>
            <w:r>
              <w:rPr>
                <w:rFonts w:cs="Times New Roman" w:ascii="Times New Roman" w:hAnsi="Times New Roman"/>
                <w:sz w:val="24"/>
                <w:szCs w:val="24"/>
              </w:rPr>
              <w:t>Супруг (супруга)</w:t>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left"/>
              <w:rPr/>
            </w:pPr>
            <w:r>
              <w:rPr>
                <w:rFonts w:cs="Times New Roman" w:ascii="Times New Roman" w:hAnsi="Times New Roman"/>
                <w:sz w:val="24"/>
                <w:szCs w:val="24"/>
              </w:rPr>
              <w:t>Несовершеннолетний ребенок</w:t>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left"/>
              <w:rPr/>
            </w:pPr>
            <w:r>
              <w:rPr>
                <w:rFonts w:cs="Times New Roman" w:ascii="Times New Roman" w:hAnsi="Times New Roman"/>
                <w:sz w:val="24"/>
                <w:szCs w:val="24"/>
              </w:rPr>
              <w:t>2.</w:t>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left"/>
              <w:rPr/>
            </w:pPr>
            <w:r>
              <w:rPr>
                <w:rFonts w:cs="Times New Roman" w:ascii="Times New Roman" w:hAnsi="Times New Roman"/>
                <w:sz w:val="24"/>
                <w:szCs w:val="24"/>
              </w:rPr>
              <w:t>Супруг (супруга)</w:t>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r>
        <w:trPr/>
        <w:tc>
          <w:tcPr>
            <w:tcW w:w="542"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9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left"/>
              <w:rPr/>
            </w:pPr>
            <w:r>
              <w:rPr>
                <w:rFonts w:cs="Times New Roman" w:ascii="Times New Roman" w:hAnsi="Times New Roman"/>
                <w:sz w:val="24"/>
                <w:szCs w:val="24"/>
              </w:rPr>
              <w:t>Несовершеннолетний ребенок</w:t>
            </w:r>
          </w:p>
        </w:tc>
        <w:tc>
          <w:tcPr>
            <w:tcW w:w="156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2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016"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3185" w:type="dxa"/>
            <w:gridSpan w:val="2"/>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131"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21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70"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478"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c>
          <w:tcPr>
            <w:tcW w:w="2209" w:type="dxa"/>
            <w:tcBorders>
              <w:top w:val="single" w:sz="4" w:space="0" w:color="000000"/>
              <w:left w:val="single" w:sz="4" w:space="0" w:color="000000"/>
              <w:bottom w:val="single" w:sz="4" w:space="0" w:color="000000"/>
              <w:right w:val="single" w:sz="4" w:space="0" w:color="000000"/>
            </w:tcBorders>
          </w:tcPr>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tc>
      </w:tr>
    </w:tbl>
    <w:p>
      <w:pPr>
        <w:sectPr>
          <w:headerReference w:type="default" r:id="rId43"/>
          <w:footerReference w:type="default" r:id="rId44"/>
          <w:footerReference w:type="first" r:id="rId45"/>
          <w:type w:val="nextPage"/>
          <w:pgSz w:orient="landscape" w:w="16838" w:h="11906"/>
          <w:pgMar w:left="1440" w:right="1440" w:gutter="0" w:header="0" w:top="1133" w:footer="0" w:bottom="566"/>
          <w:pgNumType w:fmt="decimal"/>
          <w:formProt w:val="false"/>
          <w:textDirection w:val="lrTb"/>
          <w:docGrid w:type="default" w:linePitch="100" w:charSpace="0"/>
        </w:sectPr>
        <w:pStyle w:val="ConsPlusNormal"/>
        <w:bidi w:val="0"/>
        <w:ind w:hanging="0" w:left="0" w:right="0"/>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bookmarkStart w:id="2" w:name="Par303"/>
      <w:bookmarkEnd w:id="2"/>
      <w:r>
        <w:rPr>
          <w:rFonts w:cs="Times New Roman" w:ascii="Times New Roman" w:hAnsi="Times New Roman"/>
          <w:sz w:val="24"/>
          <w:szCs w:val="24"/>
        </w:rPr>
        <w:t>&lt;1&gt; В случае если в отчетном периоде лицу, замещающему государственную должность Российской Федерации, служащему (работнику) по месту службы (работы) предоставлены (выделены) средства на приобретение (строительство) жилого помещения, данные средства суммируются с декларированным годовым доходом, а также указываются отдельно в настоящей графе.</w:t>
      </w:r>
    </w:p>
    <w:p>
      <w:pPr>
        <w:pStyle w:val="ConsPlusNormal"/>
        <w:bidi w:val="0"/>
        <w:spacing w:before="200" w:after="0"/>
        <w:ind w:firstLine="540" w:left="0" w:right="0"/>
        <w:jc w:val="both"/>
        <w:rPr>
          <w:rFonts w:ascii="Times New Roman" w:hAnsi="Times New Roman" w:cs="Times New Roman"/>
          <w:sz w:val="24"/>
          <w:szCs w:val="24"/>
        </w:rPr>
      </w:pPr>
      <w:bookmarkStart w:id="3" w:name="Par304"/>
      <w:bookmarkEnd w:id="3"/>
      <w:r>
        <w:rPr>
          <w:rFonts w:cs="Times New Roman" w:ascii="Times New Roman" w:hAnsi="Times New Roman"/>
          <w:sz w:val="24"/>
          <w:szCs w:val="24"/>
        </w:rPr>
        <w:t>&lt;2&gt; Сведения указываются, если сумма сделки превышает общий доход лица, замещающего государственную должность Российской Федерации, служащего (работника) и его супруги (супруга) за три последних года, предшествующих совершению сделки.</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numPr>
          <w:ilvl w:val="0"/>
          <w:numId w:val="0"/>
        </w:numPr>
        <w:bidi w:val="0"/>
        <w:ind w:hanging="0" w:left="0" w:right="0"/>
        <w:jc w:val="right"/>
        <w:outlineLvl w:val="0"/>
        <w:rPr>
          <w:rFonts w:ascii="Times New Roman" w:hAnsi="Times New Roman" w:cs="Times New Roman"/>
          <w:sz w:val="24"/>
          <w:szCs w:val="24"/>
        </w:rPr>
      </w:pPr>
      <w:r>
        <w:rPr>
          <w:rFonts w:cs="Times New Roman" w:ascii="Times New Roman" w:hAnsi="Times New Roman"/>
          <w:sz w:val="24"/>
          <w:szCs w:val="24"/>
        </w:rPr>
        <w:t>Приложение N 2</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к приказу Министерства труда</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и социальной защиты</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Российской Федерации</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t>от 7 октября 2013 г. N 530н</w:t>
      </w:r>
    </w:p>
    <w:p>
      <w:pPr>
        <w:pStyle w:val="ConsPlusNormal"/>
        <w:bidi w:val="0"/>
        <w:ind w:hanging="0" w:left="0" w:right="0"/>
        <w:jc w:val="right"/>
        <w:rPr>
          <w:rFonts w:ascii="Times New Roman" w:hAnsi="Times New Roman" w:cs="Times New Roman"/>
          <w:sz w:val="24"/>
          <w:szCs w:val="24"/>
        </w:rPr>
      </w:pPr>
      <w:r>
        <w:rPr>
          <w:rFonts w:cs="Times New Roman" w:ascii="Times New Roman" w:hAnsi="Times New Roman"/>
          <w:sz w:val="24"/>
          <w:szCs w:val="24"/>
        </w:rPr>
      </w:r>
    </w:p>
    <w:p>
      <w:pPr>
        <w:pStyle w:val="ConsPlusTitle"/>
        <w:bidi w:val="0"/>
        <w:ind w:hanging="0" w:left="0" w:right="0"/>
        <w:jc w:val="center"/>
        <w:rPr>
          <w:rFonts w:ascii="Times New Roman" w:hAnsi="Times New Roman" w:cs="Times New Roman"/>
          <w:sz w:val="24"/>
          <w:szCs w:val="24"/>
        </w:rPr>
      </w:pPr>
      <w:bookmarkStart w:id="4" w:name="Par316"/>
      <w:bookmarkEnd w:id="4"/>
      <w:r>
        <w:rPr>
          <w:rFonts w:cs="Times New Roman" w:ascii="Times New Roman" w:hAnsi="Times New Roman"/>
          <w:sz w:val="24"/>
          <w:szCs w:val="24"/>
        </w:rPr>
        <w:t>ТРЕБОВАНИЯ</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К ДОЛЖНОСТЯМ, ЗАМЕЩЕНИЕ КОТОРЫХ ВЛЕЧЕТ ЗА СОБОЙ РАЗМЕЩЕНИЕ</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СВЕДЕНИЙ О ДОХОДАХ, РАСХОДАХ, ОБ ИМУЩЕСТВЕ И ОБЯЗАТЕЛЬСТВАХ</w:t>
      </w:r>
    </w:p>
    <w:p>
      <w:pPr>
        <w:pStyle w:val="ConsPlusTitle"/>
        <w:bidi w:val="0"/>
        <w:ind w:hanging="0" w:left="0" w:right="0"/>
        <w:jc w:val="center"/>
        <w:rPr>
          <w:rFonts w:ascii="Times New Roman" w:hAnsi="Times New Roman" w:cs="Times New Roman"/>
          <w:sz w:val="24"/>
          <w:szCs w:val="24"/>
        </w:rPr>
      </w:pPr>
      <w:r>
        <w:rPr>
          <w:rFonts w:cs="Times New Roman" w:ascii="Times New Roman" w:hAnsi="Times New Roman"/>
          <w:sz w:val="24"/>
          <w:szCs w:val="24"/>
        </w:rPr>
        <w:t>ИМУЩЕСТВЕННОГО ХАРАКТЕРА</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В подразделах,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государственный орган, Банк России, фонд, корпорация, организация), в информационно-телекоммуникационной сети "Интернет" по решению руководителя государственного органа, председателя Банка России, руководителя фонда, корпорации, организации подлежат размещению сведения о доходах, расходах, об имуществе и обязательствах имущественного характера, представленные лицами, замещающими должности, к которым установлены требования о размещении сведений о доходах, расходах, об имуществе и обязательствах имущественного характера.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Требования о размещении сведений о доходах, расходах, об имуществе и обязательствах имущественного характера устанавливаются к следующим должностям:</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 государственные должности Российской Федерации;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2) должности председателя Банка России, заместителя председателя Банка России, члена совета директоров Банка России;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3) должности в государственном органе (территориальном органе государственного органа), фонде, корпорации, организации,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4) должности федеральной государственной гражданской службы указанные в </w:t>
      </w:r>
      <w:hyperlink r:id="rId46" w:tgtFrame="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10;{КонсультантПлюс}">
        <w:r>
          <w:rPr>
            <w:rFonts w:cs="Times New Roman" w:ascii="Times New Roman" w:hAnsi="Times New Roman"/>
            <w:color w:val="0000FF"/>
            <w:sz w:val="24"/>
            <w:szCs w:val="24"/>
          </w:rPr>
          <w:t>разделе I</w:t>
        </w:r>
      </w:hyperlink>
      <w:r>
        <w:rPr>
          <w:rFonts w:cs="Times New Roman" w:ascii="Times New Roman" w:hAnsi="Times New Roman"/>
          <w:sz w:val="24"/>
          <w:szCs w:val="24"/>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&lt;1&gt; (далее - Перечень, утвержденный Указом Президента Российской Федерации N 557);</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&lt;1&gt; Собрание законодательства Российской Федерации, 2009, N 21, ст. 2542; 2012, N 4, ст. 471; N 14, ст. 1616.</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5) должности военной службы и федеральной государственной службы иных видов, указанные в </w:t>
      </w:r>
      <w:hyperlink r:id="rId47" w:tgtFrame="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10;{КонсультантПлюс}">
        <w:r>
          <w:rPr>
            <w:rFonts w:cs="Times New Roman" w:ascii="Times New Roman" w:hAnsi="Times New Roman"/>
            <w:color w:val="0000FF"/>
            <w:sz w:val="24"/>
            <w:szCs w:val="24"/>
          </w:rPr>
          <w:t>разделе II</w:t>
        </w:r>
      </w:hyperlink>
      <w:r>
        <w:rPr>
          <w:rFonts w:cs="Times New Roman" w:ascii="Times New Roman" w:hAnsi="Times New Roman"/>
          <w:sz w:val="24"/>
          <w:szCs w:val="24"/>
        </w:rPr>
        <w:t xml:space="preserve"> Перечня, утвержденного Указом Президента Российской Федерации N 557;</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 xml:space="preserve">6) должности федеральной государственной гражданской службы высшей и главной группы категорий "руководители", "помощники (советники)", "специалисты", включенные в перечни должностей, замещение которых связано с коррупционными рисками, утвержденные государственными органами в соответствии с </w:t>
      </w:r>
      <w:hyperlink r:id="rId48" w:tgtFrame="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10;{КонсультантПлюс}">
        <w:r>
          <w:rPr>
            <w:rFonts w:cs="Times New Roman" w:ascii="Times New Roman" w:hAnsi="Times New Roman"/>
            <w:color w:val="0000FF"/>
            <w:sz w:val="24"/>
            <w:szCs w:val="24"/>
          </w:rPr>
          <w:t>разделом III</w:t>
        </w:r>
      </w:hyperlink>
      <w:r>
        <w:rPr>
          <w:rFonts w:cs="Times New Roman" w:ascii="Times New Roman" w:hAnsi="Times New Roman"/>
          <w:sz w:val="24"/>
          <w:szCs w:val="24"/>
        </w:rPr>
        <w:t xml:space="preserve"> Перечня, утвержденного Указом Президента Российской Федерации N 557;</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7) следующие должности в Банке России: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центральный аппарат:</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главный аудитор;</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директор департамента;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начальник департамента;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начальник главного управления;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территориальные учреждения: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начальник главного управления;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начальник московского главного территориального управления;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председатель Национального банка;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8) следующие должности в фондах, корпорациях и организациях:</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руководитель (единоличный исполнительный орган);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заместитель руководителя;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член правления (коллегиального исполнительного органа), исполнение обязанностей по которой осуществляется на постоянной основе;</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руководитель самостоятельного структурного подразделения (департамента, управления, отдела);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заместитель руководителя самостоятельного структурного подразделения (департамента, управления, отдела);</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руководитель территориального органа фонда, филиала корпорации, организации;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9) следующие должности в организациях, создаваемых для выполнения задач, поставленных перед государственными органами (далее - подведомственные организации):</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руководитель (единоличный исполнительный орган);</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заместитель руководителя;</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главный бухгалтер;</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10) должности, исполнение должностных (служебных, трудовых) обязанностей по которым предусматривает участие в качестве председателя, заместителя председателя, секретаря, члена коллегиального органа, образованного в государственном органе (территориальном органе государственного органа), Банке России, фонде, корпорации, организации, подведомственной организации, в полномочия которого входит:</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распределение бюджетных ассигнований, субсидий, межбюджетных трансфертов, а также распределение ограниченных ресурсов;</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осуществление государственных закупок либо выдача лицензий и разрешений;</w:t>
      </w:r>
    </w:p>
    <w:p>
      <w:pPr>
        <w:pStyle w:val="ConsPlusNormal"/>
        <w:bidi w:val="0"/>
        <w:spacing w:before="200" w:after="0"/>
        <w:ind w:firstLine="540" w:left="0" w:right="0"/>
        <w:jc w:val="both"/>
        <w:rPr>
          <w:rFonts w:ascii="Times New Roman" w:hAnsi="Times New Roman" w:cs="Times New Roman"/>
          <w:sz w:val="24"/>
          <w:szCs w:val="24"/>
        </w:rPr>
      </w:pPr>
      <w:r>
        <w:rPr>
          <w:rFonts w:cs="Times New Roman" w:ascii="Times New Roman" w:hAnsi="Times New Roman"/>
          <w:sz w:val="24"/>
          <w:szCs w:val="24"/>
        </w:rPr>
        <w:t>списание объектов движимого и недвижимого имущества, находящегося в федеральной собственности и закрепленного на праве оперативного управления за государственным органом, Банком России, фондом, корпорацией, организацией.</w:t>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bidi w:val="0"/>
        <w:ind w:hanging="0" w:left="0" w:right="0"/>
        <w:jc w:val="both"/>
        <w:rPr>
          <w:rFonts w:ascii="Times New Roman" w:hAnsi="Times New Roman" w:cs="Times New Roman"/>
          <w:sz w:val="24"/>
          <w:szCs w:val="24"/>
        </w:rPr>
      </w:pPr>
      <w:r>
        <w:rPr>
          <w:rFonts w:cs="Times New Roman" w:ascii="Times New Roman" w:hAnsi="Times New Roman"/>
          <w:sz w:val="24"/>
          <w:szCs w:val="24"/>
        </w:rPr>
      </w:r>
    </w:p>
    <w:p>
      <w:pPr>
        <w:pStyle w:val="ConsPlusNormal"/>
        <w:pBdr>
          <w:top w:val="single" w:sz="6" w:space="0" w:color="000000"/>
        </w:pBdr>
        <w:bidi w:val="0"/>
        <w:spacing w:before="100" w:after="100"/>
        <w:ind w:hanging="0" w:left="0" w:right="0"/>
        <w:jc w:val="both"/>
        <w:rPr>
          <w:rFonts w:ascii="Times New Roman" w:hAnsi="Times New Roman" w:cs="Times New Roman"/>
          <w:sz w:val="24"/>
          <w:szCs w:val="24"/>
        </w:rPr>
      </w:pPr>
      <w:r>
        <w:rPr>
          <w:rFonts w:cs="Times New Roman" w:ascii="Times New Roman" w:hAnsi="Times New Roman"/>
          <w:sz w:val="24"/>
          <w:szCs w:val="24"/>
        </w:rPr>
      </w:r>
    </w:p>
    <w:sectPr>
      <w:headerReference w:type="default" r:id="rId49"/>
      <w:headerReference w:type="first" r:id="rId50"/>
      <w:footerReference w:type="default" r:id="rId51"/>
      <w:footerReference w:type="first" r:id="rId52"/>
      <w:type w:val="nextPage"/>
      <w:pgSz w:w="11906" w:h="16838"/>
      <w:pgMar w:left="1133" w:right="566"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Open Sans">
    <w:charset w:val="01"/>
    <w:family w:val="swiss"/>
    <w:pitch w:val="variable"/>
  </w:font>
  <w:font w:name="Arial">
    <w:charset w:val="01"/>
    <w:family w:val="roman"/>
    <w:pitch w:val="variable"/>
  </w:font>
  <w:font w:name="Courier New">
    <w:charset w:val="01"/>
    <w:family w:val="roman"/>
    <w:pitch w:val="variable"/>
  </w:font>
  <w:font w:name="Tahom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pBdr>
        <w:bottom w:val="single" w:sz="12" w:space="0" w:color="000000"/>
      </w:pBdr>
      <w:bidi w:val="0"/>
      <w:ind w:hanging="0" w:left="0" w:right="0"/>
      <w:jc w:val="center"/>
      <w:rPr>
        <w:sz w:val="2"/>
        <w:szCs w:val="2"/>
      </w:rPr>
    </w:pPr>
    <w:r>
      <w:rPr>
        <w:sz w:val="2"/>
        <w:szCs w:val="2"/>
      </w:rPr>
    </w:r>
  </w:p>
  <w:tbl>
    <w:tblPr>
      <w:tblW w:w="3395" w:type="dxa"/>
      <w:jc w:val="left"/>
      <w:tblInd w:w="0" w:type="dxa"/>
      <w:tblLayout w:type="fixed"/>
      <w:tblCellMar>
        <w:top w:w="0" w:type="dxa"/>
        <w:left w:w="40" w:type="dxa"/>
        <w:bottom w:w="0" w:type="dxa"/>
        <w:right w:w="40" w:type="dxa"/>
      </w:tblCellMar>
    </w:tblPr>
    <w:tblGrid>
      <w:gridCol w:w="3395"/>
    </w:tblGrid>
    <w:tr>
      <w:trPr>
        <w:trHeight w:val="1663" w:hRule="exact"/>
      </w:trPr>
      <w:tc>
        <w:tcPr>
          <w:tcW w:w="3395" w:type="dxa"/>
          <w:tcBorders/>
          <w:vAlign w:val="center"/>
        </w:tcPr>
        <w:p>
          <w:pPr>
            <w:pStyle w:val="ConsPlusNormal"/>
            <w:tabs>
              <w:tab w:val="clear" w:pos="720"/>
            </w:tabs>
            <w:bidi w:val="0"/>
            <w:ind w:hanging="0" w:left="0" w:right="0"/>
            <w:jc w:val="lef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11</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15</w:t>
          </w:r>
          <w:r>
            <w:rPr>
              <w:rFonts w:cs="Tahoma" w:ascii="Tahoma" w:hAnsi="Tahoma"/>
            </w:rPr>
            <w:fldChar w:fldCharType="end"/>
          </w:r>
        </w:p>
      </w:tc>
    </w:tr>
  </w:tbl>
  <w:p>
    <w:pPr>
      <w:pStyle w:val="ConsPlusNormal"/>
      <w:bidi w:val="0"/>
      <w:ind w:hanging="0" w:left="0" w:right="0"/>
      <w:rPr>
        <w:sz w:val="2"/>
        <w:szCs w:val="2"/>
        <w:lang w:val="en-US"/>
      </w:rPr>
    </w:pPr>
    <w:r>
      <w:rPr>
        <w:sz w:val="2"/>
        <w:szCs w:val="2"/>
        <w:lang w:val="en-US"/>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4634" w:type="dxa"/>
      <w:jc w:val="left"/>
      <w:tblInd w:w="0" w:type="dxa"/>
      <w:tblLayout w:type="fixed"/>
      <w:tblCellMar>
        <w:top w:w="0" w:type="dxa"/>
        <w:left w:w="40" w:type="dxa"/>
        <w:bottom w:w="0" w:type="dxa"/>
        <w:right w:w="40" w:type="dxa"/>
      </w:tblCellMar>
    </w:tblPr>
    <w:tblGrid>
      <w:gridCol w:w="4634"/>
    </w:tblGrid>
    <w:tr>
      <w:trPr>
        <w:trHeight w:val="1170" w:hRule="exact"/>
      </w:trPr>
      <w:tc>
        <w:tcPr>
          <w:tcW w:w="4634" w:type="dxa"/>
          <w:tcBorders/>
          <w:vAlign w:val="center"/>
        </w:tcPr>
        <w:p>
          <w:pPr>
            <w:pStyle w:val="ConsPlusNormal"/>
            <w:tabs>
              <w:tab w:val="clear" w:pos="720"/>
            </w:tabs>
            <w:bidi w:val="0"/>
            <w:ind w:hanging="0" w:left="0" w:right="0"/>
            <w:jc w:val="lef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12</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15</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3393" w:type="dxa"/>
      <w:jc w:val="left"/>
      <w:tblInd w:w="-102" w:type="dxa"/>
      <w:tblLayout w:type="fixed"/>
      <w:tblCellMar>
        <w:top w:w="0" w:type="dxa"/>
        <w:left w:w="40" w:type="dxa"/>
        <w:bottom w:w="0" w:type="dxa"/>
        <w:right w:w="40" w:type="dxa"/>
      </w:tblCellMar>
    </w:tblPr>
    <w:tblGrid>
      <w:gridCol w:w="3393"/>
    </w:tblGrid>
    <w:tr>
      <w:trPr>
        <w:trHeight w:val="1663" w:hRule="exact"/>
      </w:trPr>
      <w:tc>
        <w:tcPr>
          <w:tcW w:w="3393" w:type="dxa"/>
          <w:tcBorders/>
          <w:vAlign w:val="center"/>
        </w:tcPr>
        <w:p>
          <w:pPr>
            <w:pStyle w:val="ConsPlusNormal"/>
            <w:tabs>
              <w:tab w:val="clear" w:pos="720"/>
            </w:tabs>
            <w:bidi w:val="0"/>
            <w:ind w:hanging="0" w:left="0" w:right="0"/>
            <w:jc w:val="left"/>
            <w:rPr/>
          </w:pPr>
          <w:r>
            <w:rPr>
              <w:rFonts w:cs="Tahoma" w:ascii="Tahoma" w:hAnsi="Tahoma"/>
            </w:rPr>
            <w:t xml:space="preserve">Страница </w:t>
          </w:r>
          <w:r>
            <w:rPr>
              <w:rFonts w:cs="Tahoma" w:ascii="Tahoma" w:hAnsi="Tahoma"/>
            </w:rPr>
            <w:fldChar w:fldCharType="begin"/>
          </w:r>
          <w:r>
            <w:rPr>
              <w:rFonts w:cs="Tahoma" w:ascii="Tahoma" w:hAnsi="Tahoma"/>
            </w:rPr>
            <w:instrText xml:space="preserve"> PAGE </w:instrText>
          </w:r>
          <w:r>
            <w:rPr>
              <w:rFonts w:cs="Tahoma" w:ascii="Tahoma" w:hAnsi="Tahoma"/>
            </w:rPr>
            <w:fldChar w:fldCharType="separate"/>
          </w:r>
          <w:r>
            <w:rPr>
              <w:rFonts w:cs="Tahoma" w:ascii="Tahoma" w:hAnsi="Tahoma"/>
            </w:rPr>
            <w:t>15</w:t>
          </w:r>
          <w:r>
            <w:rPr>
              <w:rFonts w:cs="Tahoma" w:ascii="Tahoma" w:hAnsi="Tahoma"/>
            </w:rPr>
            <w:fldChar w:fldCharType="end"/>
          </w:r>
          <w:r>
            <w:rPr>
              <w:rFonts w:cs="Tahoma" w:ascii="Tahoma" w:hAnsi="Tahoma"/>
            </w:rPr>
            <w:t xml:space="preserve"> из </w:t>
          </w:r>
          <w:r>
            <w:rPr>
              <w:rFonts w:cs="Tahoma" w:ascii="Tahoma" w:hAnsi="Tahoma"/>
            </w:rPr>
            <w:fldChar w:fldCharType="begin"/>
          </w:r>
          <w:r>
            <w:rPr>
              <w:rFonts w:cs="Tahoma" w:ascii="Tahoma" w:hAnsi="Tahoma"/>
            </w:rPr>
            <w:instrText xml:space="preserve"> NUMPAGES </w:instrText>
          </w:r>
          <w:r>
            <w:rPr>
              <w:rFonts w:cs="Tahoma" w:ascii="Tahoma" w:hAnsi="Tahoma"/>
            </w:rPr>
            <w:fldChar w:fldCharType="separate"/>
          </w:r>
          <w:r>
            <w:rPr>
              <w:rFonts w:cs="Tahoma" w:ascii="Tahoma" w:hAnsi="Tahoma"/>
            </w:rPr>
            <w:t>15</w:t>
          </w:r>
          <w:r>
            <w:rPr>
              <w:rFonts w:cs="Tahoma" w:ascii="Tahoma" w:hAnsi="Tahoma"/>
            </w:rPr>
            <w:fldChar w:fldCharType="end"/>
          </w:r>
        </w:p>
      </w:tc>
    </w:tr>
  </w:tbl>
  <w:p>
    <w:pPr>
      <w:pStyle w:val="ConsPlusNormal"/>
      <w:bidi w:val="0"/>
      <w:ind w:hanging="0" w:left="0" w:right="0"/>
      <w:rPr>
        <w:sz w:val="2"/>
        <w:szCs w:val="2"/>
      </w:rPr>
    </w:pPr>
    <w:r>
      <w:rPr>
        <w:sz w:val="2"/>
        <w:szCs w:val="2"/>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bidi w:val="0"/>
      <w:ind w:hanging="0" w:left="0" w:right="0"/>
      <w:rPr>
        <w:lang w:val="en-US"/>
      </w:rPr>
    </w:pPr>
    <w:r>
      <w:rPr>
        <w:lang w:val="en-U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sPlusNormal"/>
      <w:bidi w:val="0"/>
      <w:ind w:hanging="0" w:left="0" w:right="0"/>
      <w:rPr>
        <w:lang w:val="en-US"/>
      </w:rPr>
    </w:pPr>
    <w:r>
      <w:rPr>
        <w:lang w:val="en-US"/>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settings.xml><?xml version="1.0" encoding="utf-8"?>
<w:settings xmlns:w="http://schemas.openxmlformats.org/wordprocessingml/2006/main">
  <w:zoom w:percent="120"/>
  <w:defaultTabStop w:val="720"/>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empora LGC Uni" w:hAnsi="Tempora LGC Uni" w:eastAsia="Droid Sans Fallback" w:cs="Lohit Devanagari"/>
        <w:kern w:val="2"/>
        <w:sz w:val="24"/>
        <w:szCs w:val="24"/>
        <w:lang w:val="ru-RU" w:eastAsia="zh-CN" w:bidi="hi-IN"/>
      </w:rPr>
    </w:rPrDefault>
    <w:pPrDefault>
      <w:pPr>
        <w:suppressAutoHyphens w:val="true"/>
      </w:pPr>
    </w:pPrDefault>
  </w:docDefaults>
  <w:style w:type="paragraph" w:styleId="Normal">
    <w:name w:val="Normal"/>
    <w:qFormat/>
    <w:pPr>
      <w:widowControl/>
      <w:bidi w:val="0"/>
      <w:spacing w:lineRule="auto" w:line="276" w:before="0" w:after="200"/>
      <w:jc w:val="left"/>
      <w:textAlignment w:val="auto"/>
    </w:pPr>
    <w:rPr>
      <w:rFonts w:ascii="Calibri" w:hAnsi="Calibri" w:eastAsia="Times New Roman" w:cs="Times New Roman"/>
      <w:color w:val="auto"/>
      <w:kern w:val="2"/>
      <w:sz w:val="22"/>
      <w:szCs w:val="22"/>
      <w:lang w:val="ru-RU" w:eastAsia="ru-RU" w:bidi="ar-SA"/>
    </w:rPr>
  </w:style>
  <w:style w:type="character" w:styleId="DefaultParagraphFont">
    <w:name w:val="Default Paragraph Font"/>
    <w:qFormat/>
    <w:rPr/>
  </w:style>
  <w:style w:type="character" w:styleId="Style14">
    <w:name w:val="Верхний колонтитул Знак"/>
    <w:basedOn w:val="DefaultParagraphFont"/>
    <w:qFormat/>
    <w:rPr>
      <w:rFonts w:ascii="Times New Roman" w:hAnsi="Times New Roman" w:eastAsia="Times New Roman"/>
      <w:sz w:val="24"/>
      <w:szCs w:val="24"/>
    </w:rPr>
  </w:style>
  <w:style w:type="character" w:styleId="Style15">
    <w:name w:val="Нижний колонтитул Знак"/>
    <w:basedOn w:val="DefaultParagraphFont"/>
    <w:qFormat/>
    <w:rPr>
      <w:rFonts w:ascii="Times New Roman" w:hAnsi="Times New Roman" w:eastAsia="Times New Roman"/>
      <w:sz w:val="24"/>
      <w:szCs w:val="24"/>
    </w:rPr>
  </w:style>
  <w:style w:type="character" w:styleId="Hyperlink">
    <w:name w:val="Hyperlink"/>
    <w:rPr>
      <w:color w:val="000080"/>
      <w:u w:val="single"/>
    </w:rPr>
  </w:style>
  <w:style w:type="paragraph" w:styleId="Style16">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17">
    <w:name w:val="Указатель"/>
    <w:basedOn w:val="Normal"/>
    <w:qFormat/>
    <w:pPr>
      <w:suppressLineNumbers/>
    </w:pPr>
    <w:rPr>
      <w:rFonts w:cs="Lohit Devanagari"/>
    </w:rPr>
  </w:style>
  <w:style w:type="paragraph" w:styleId="NormalTable">
    <w:name w:val="Normal Table"/>
    <w:qFormat/>
    <w:pPr>
      <w:widowControl/>
      <w:bidi w:val="0"/>
      <w:spacing w:lineRule="auto" w:line="276" w:before="0" w:after="200"/>
      <w:jc w:val="left"/>
      <w:textAlignment w:val="auto"/>
    </w:pPr>
    <w:rPr>
      <w:rFonts w:ascii="Calibri" w:hAnsi="Calibri" w:eastAsia="Times New Roman" w:cs="Times New Roman"/>
      <w:color w:val="auto"/>
      <w:kern w:val="2"/>
      <w:sz w:val="22"/>
      <w:szCs w:val="22"/>
      <w:lang w:val="ru-RU" w:eastAsia="ru-RU" w:bidi="ar-SA"/>
    </w:rPr>
  </w:style>
  <w:style w:type="paragraph" w:styleId="ConsPlusNormal">
    <w:name w:val="ConsPlusNormal"/>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ConsPlusNonformat">
    <w:name w:val="ConsPlusNonformat"/>
    <w:qFormat/>
    <w:pPr>
      <w:widowControl w:val="false"/>
      <w:bidi w:val="0"/>
      <w:jc w:val="left"/>
      <w:textAlignment w:val="auto"/>
    </w:pPr>
    <w:rPr>
      <w:rFonts w:ascii="Courier New" w:hAnsi="Courier New" w:eastAsia="Times New Roman" w:cs="Courier New"/>
      <w:color w:val="auto"/>
      <w:kern w:val="2"/>
      <w:sz w:val="20"/>
      <w:szCs w:val="20"/>
      <w:lang w:val="ru-RU" w:eastAsia="ru-RU" w:bidi="ar-SA"/>
    </w:rPr>
  </w:style>
  <w:style w:type="paragraph" w:styleId="ConsPlusTitle">
    <w:name w:val="ConsPlusTitle"/>
    <w:qFormat/>
    <w:pPr>
      <w:widowControl w:val="false"/>
      <w:bidi w:val="0"/>
      <w:jc w:val="left"/>
      <w:textAlignment w:val="auto"/>
    </w:pPr>
    <w:rPr>
      <w:rFonts w:ascii="Arial" w:hAnsi="Arial" w:eastAsia="Times New Roman" w:cs="Arial"/>
      <w:b/>
      <w:bCs/>
      <w:color w:val="auto"/>
      <w:kern w:val="2"/>
      <w:sz w:val="20"/>
      <w:szCs w:val="20"/>
      <w:lang w:val="ru-RU" w:eastAsia="ru-RU" w:bidi="ar-SA"/>
    </w:rPr>
  </w:style>
  <w:style w:type="paragraph" w:styleId="ConsPlusCell">
    <w:name w:val="ConsPlusCell"/>
    <w:qFormat/>
    <w:pPr>
      <w:widowControl w:val="false"/>
      <w:bidi w:val="0"/>
      <w:jc w:val="left"/>
      <w:textAlignment w:val="auto"/>
    </w:pPr>
    <w:rPr>
      <w:rFonts w:ascii="Courier New" w:hAnsi="Courier New" w:eastAsia="Times New Roman" w:cs="Courier New"/>
      <w:color w:val="auto"/>
      <w:kern w:val="2"/>
      <w:sz w:val="20"/>
      <w:szCs w:val="20"/>
      <w:lang w:val="ru-RU" w:eastAsia="ru-RU" w:bidi="ar-SA"/>
    </w:rPr>
  </w:style>
  <w:style w:type="paragraph" w:styleId="ConsPlusDocList">
    <w:name w:val="ConsPlusDocList"/>
    <w:qFormat/>
    <w:pPr>
      <w:widowControl w:val="false"/>
      <w:bidi w:val="0"/>
      <w:jc w:val="left"/>
      <w:textAlignment w:val="auto"/>
    </w:pPr>
    <w:rPr>
      <w:rFonts w:ascii="Courier New" w:hAnsi="Courier New" w:eastAsia="Times New Roman" w:cs="Courier New"/>
      <w:color w:val="auto"/>
      <w:kern w:val="2"/>
      <w:sz w:val="20"/>
      <w:szCs w:val="20"/>
      <w:lang w:val="ru-RU" w:eastAsia="ru-RU" w:bidi="ar-SA"/>
    </w:rPr>
  </w:style>
  <w:style w:type="paragraph" w:styleId="ConsPlusTitlePage">
    <w:name w:val="ConsPlusTitlePage"/>
    <w:qFormat/>
    <w:pPr>
      <w:widowControl w:val="false"/>
      <w:bidi w:val="0"/>
      <w:jc w:val="left"/>
      <w:textAlignment w:val="auto"/>
    </w:pPr>
    <w:rPr>
      <w:rFonts w:ascii="Tahoma" w:hAnsi="Tahoma" w:eastAsia="Times New Roman" w:cs="Tahoma"/>
      <w:color w:val="auto"/>
      <w:kern w:val="2"/>
      <w:sz w:val="20"/>
      <w:szCs w:val="20"/>
      <w:lang w:val="ru-RU" w:eastAsia="ru-RU" w:bidi="ar-SA"/>
    </w:rPr>
  </w:style>
  <w:style w:type="paragraph" w:styleId="ConsPlusJurTerm">
    <w:name w:val="ConsPlusJurTerm"/>
    <w:qFormat/>
    <w:pPr>
      <w:widowControl w:val="false"/>
      <w:bidi w:val="0"/>
      <w:jc w:val="left"/>
      <w:textAlignment w:val="auto"/>
    </w:pPr>
    <w:rPr>
      <w:rFonts w:ascii="Tahoma" w:hAnsi="Tahoma" w:eastAsia="Times New Roman" w:cs="Tahoma"/>
      <w:color w:val="auto"/>
      <w:kern w:val="2"/>
      <w:sz w:val="26"/>
      <w:szCs w:val="26"/>
      <w:lang w:val="ru-RU" w:eastAsia="ru-RU" w:bidi="ar-SA"/>
    </w:rPr>
  </w:style>
  <w:style w:type="paragraph" w:styleId="ConsPlusTextList">
    <w:name w:val="ConsPlusTextList"/>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ConsPlusTextList1">
    <w:name w:val="ConsPlusTextList1"/>
    <w:qFormat/>
    <w:pPr>
      <w:widowControl w:val="false"/>
      <w:bidi w:val="0"/>
      <w:jc w:val="left"/>
      <w:textAlignment w:val="auto"/>
    </w:pPr>
    <w:rPr>
      <w:rFonts w:ascii="Arial" w:hAnsi="Arial" w:eastAsia="Times New Roman" w:cs="Arial"/>
      <w:color w:val="auto"/>
      <w:kern w:val="2"/>
      <w:sz w:val="20"/>
      <w:szCs w:val="20"/>
      <w:lang w:val="ru-RU" w:eastAsia="ru-RU" w:bidi="ar-SA"/>
    </w:rPr>
  </w:style>
  <w:style w:type="paragraph" w:styleId="Style18">
    <w:name w:val="Колонтитул"/>
    <w:basedOn w:val="Normal"/>
    <w:qFormat/>
    <w:pPr/>
    <w:rPr/>
  </w:style>
  <w:style w:type="paragraph" w:styleId="Header">
    <w:name w:val="Header"/>
    <w:basedOn w:val="Normal"/>
    <w:pPr>
      <w:widowControl/>
      <w:tabs>
        <w:tab w:val="clear" w:pos="720"/>
        <w:tab w:val="center" w:pos="4677" w:leader="none"/>
        <w:tab w:val="right" w:pos="9355" w:leader="none"/>
      </w:tabs>
      <w:spacing w:lineRule="auto" w:line="276" w:before="0" w:after="200"/>
      <w:jc w:val="left"/>
      <w:textAlignment w:val="auto"/>
    </w:pPr>
    <w:rPr>
      <w:rFonts w:ascii="Calibri" w:hAnsi="Calibri" w:eastAsia="Times New Roman" w:cs="Times New Roman"/>
      <w:sz w:val="22"/>
      <w:szCs w:val="22"/>
      <w:lang w:val="ru-RU" w:eastAsia="ru-RU" w:bidi="ar-SA"/>
    </w:rPr>
  </w:style>
  <w:style w:type="paragraph" w:styleId="Footer">
    <w:name w:val="Footer"/>
    <w:basedOn w:val="Normal"/>
    <w:pPr>
      <w:widowControl/>
      <w:tabs>
        <w:tab w:val="clear" w:pos="720"/>
        <w:tab w:val="center" w:pos="4677" w:leader="none"/>
        <w:tab w:val="right" w:pos="9355" w:leader="none"/>
      </w:tabs>
      <w:spacing w:lineRule="auto" w:line="276" w:before="0" w:after="200"/>
      <w:jc w:val="left"/>
      <w:textAlignment w:val="auto"/>
    </w:pPr>
    <w:rPr>
      <w:rFonts w:ascii="Calibri" w:hAnsi="Calibri" w:eastAsia="Times New Roman" w:cs="Times New Roman"/>
      <w:sz w:val="22"/>
      <w:szCs w:val="22"/>
      <w:lang w:val="ru-RU" w:eastAsia="ru-RU"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4359DD3B22841BA659B05F13EAB60DBE02E89135303E149C2E0CB47B95142BC586DA2FCA2E1343BA633EB617FD10F6DAF0D7881C38485CF8iFD2K" TargetMode="External"/><Relationship Id="rId3" Type="http://schemas.openxmlformats.org/officeDocument/2006/relationships/hyperlink" Target="../&#1047;&#1072;&#1075;&#1088;&#1091;&#1079;&#1082;&#1080;/&#1086;&#1087;&#1091;&#1073;&#1083;&#1080;&#1082;&#1086;&#1074;&#1072;&#1085;&#1080;&#1103;/%22)%0A%7B&#1050;&#1086;&#1085;&#1089;&#1091;&#1083;&#1100;&#1090;&#1072;&#1085;&#1090;&#1055;&#1083;&#1102;&#1089;%7D" TargetMode="External"/><Relationship Id="rId4" Type="http://schemas.openxmlformats.org/officeDocument/2006/relationships/hyperlink" Target="consultantplus://offline/ref=4359DD3B22841BA659B05F13EAB60DBE02E89135303E149C2E0CB47B95142BC586DA2FCA2E1343BB643EB617FD10F6DAF0D7881C38485CF8iFD2K" TargetMode="External"/><Relationship Id="rId5" Type="http://schemas.openxmlformats.org/officeDocument/2006/relationships/hyperlink" Target="consultantplus://offline/ref=4359DD3B22841BA659B05F13EAB60DBE02E89135303E149C2E0CB47B95142BC586DA2FCA2E1343BB663EB617FD10F6DAF0D7881C38485CF8iFD2K" TargetMode="External"/><Relationship Id="rId6" Type="http://schemas.openxmlformats.org/officeDocument/2006/relationships/hyperlink" Target="consultantplus://offline/ref=4359DD3B22841BA659B05F13EAB60DBE02E89135303E149C2E0CB47B95142BC586DA2FCA2E1343BB613EB617FD10F6DAF0D7881C38485CF8iFD2K" TargetMode="External"/><Relationship Id="rId7" Type="http://schemas.openxmlformats.org/officeDocument/2006/relationships/hyperlink" Target="consultantplus://offline/ref=4359DD3B22841BA659B05F13EAB60DBE02E89135303E149C2E0CB47B95142BC586DA2FCA2E1343BB633EB617FD10F6DAF0D7881C38485CF8iFD2K" TargetMode="External"/><Relationship Id="rId8" Type="http://schemas.openxmlformats.org/officeDocument/2006/relationships/hyperlink" Target="consultantplus://offline/ref=4359DD3B22841BA659B05F13EAB60DBE02E89135303E149C2E0CB47B95142BC586DA2FCA2E1343BB623EB617FD10F6DAF0D7881C38485CF8iFD2K" TargetMode="External"/><Relationship Id="rId9" Type="http://schemas.openxmlformats.org/officeDocument/2006/relationships/hyperlink" Target="consultantplus://offline/ref=4359DD3B22841BA659B05F13EAB60DBE02E89135303E149C2E0CB47B95142BC586DA2FCA2E1343BB6D3EB617FD10F6DAF0D7881C38485CF8iFD2K" TargetMode="External"/><Relationship Id="rId10" Type="http://schemas.openxmlformats.org/officeDocument/2006/relationships/hyperlink" Target="../&#1047;&#1072;&#1075;&#1088;&#1091;&#1079;&#1082;&#1080;/&#1050;&#1086;&#1085;&#1089;&#1091;&#1083;&#1100;&#1090;&#1072;&#1085;&#1090;&#1055;&#1083;&#1102;&#1089;)%0A%7B&#1050;&#1086;&#1085;&#1089;&#1091;&#1083;&#1100;&#1090;&#1072;&#1085;&#1090;&#1055;&#1083;&#1102;&#1089;%7D" TargetMode="External"/><Relationship Id="rId11" Type="http://schemas.openxmlformats.org/officeDocument/2006/relationships/hyperlink" Target="consultantplus://offline/ref=4359DD3B22841BA659B05F13EAB60DBE00E0973B3A3F149C2E0CB47B95142BC586DA2FCA2E1343BB643EB617FD10F6DAF0D7881C38485CF8iFD2K" TargetMode="External"/><Relationship Id="rId12" Type="http://schemas.openxmlformats.org/officeDocument/2006/relationships/hyperlink" Target="consultantplus://offline/ref=4359DD3B22841BA659B05F13EAB60DBE02E89135303E149C2E0CB47B95142BC586DA2FCA2E1343BB6C3EB617FD10F6DAF0D7881C38485CF8iFD2K" TargetMode="External"/><Relationship Id="rId13" Type="http://schemas.openxmlformats.org/officeDocument/2006/relationships/hyperlink" Target="consultantplus://offline/ref=4359DD3B22841BA659B05F13EAB60DBE02E89135303E149C2E0CB47B95142BC586DA2FCA2E1343B8643EB617FD10F6DAF0D7881C38485CF8iFD2K" TargetMode="External"/><Relationship Id="rId14" Type="http://schemas.openxmlformats.org/officeDocument/2006/relationships/hyperlink" Target="consultantplus://offline/ref=4359DD3B22841BA659B05F13EAB60DBE02E89135303E149C2E0CB47B95142BC586DA2FCA2E1343B8673EB617FD10F6DAF0D7881C38485CF8iFD2K" TargetMode="External"/><Relationship Id="rId15" Type="http://schemas.openxmlformats.org/officeDocument/2006/relationships/hyperlink" Target="../&#1047;&#1072;&#1075;&#1088;&#1091;&#1079;&#1082;&#1080;/&#1080;&#1085;&#1090;&#1077;&#1088;&#1077;&#1089;&#1086;&#1074;/%22)%0A%7B&#1050;&#1086;&#1085;&#1089;&#1091;&#1083;&#1100;&#1090;&#1072;&#1085;&#1090;&#1055;&#1083;&#1102;&#1089;%7D" TargetMode="External"/><Relationship Id="rId16" Type="http://schemas.openxmlformats.org/officeDocument/2006/relationships/hyperlink" Target="../&#1047;&#1072;&#1075;&#1088;&#1091;&#1079;&#1082;&#1080;/&#1080;&#1085;&#1090;&#1077;&#1088;&#1077;&#1089;&#1086;&#1074;/%22)%0A%7B&#1050;&#1086;&#1085;&#1089;&#1091;&#1083;&#1100;&#1090;&#1072;&#1085;&#1090;&#1055;&#1083;&#1102;&#1089;%7D" TargetMode="External"/><Relationship Id="rId17" Type="http://schemas.openxmlformats.org/officeDocument/2006/relationships/hyperlink" Target="consultantplus://offline/ref=4359DD3B22841BA659B05F13EAB60DBE02EF943B3838149C2E0CB47B95142BC586DA2FCA2E1343B8643EB617FD10F6DAF0D7881C38485CF8iFD2K" TargetMode="External"/><Relationship Id="rId18" Type="http://schemas.openxmlformats.org/officeDocument/2006/relationships/hyperlink" Target="consultantplus://offline/ref=4359DD3B22841BA659B05F13EAB60DBE02EF943B3838149C2E0CB47B95142BC586DA2FCA2E1342BC6D3EB617FD10F6DAF0D7881C38485CF8iFD2K" TargetMode="External"/><Relationship Id="rId19" Type="http://schemas.openxmlformats.org/officeDocument/2006/relationships/hyperlink" Target="consultantplus://offline/ref=4359DD3B22841BA659B05F13EAB60DBE02E89135303E149C2E0CB47B95142BC586DA2FCA2E1343B8663EB617FD10F6DAF0D7881C38485CF8iFD2K" TargetMode="External"/><Relationship Id="rId20" Type="http://schemas.openxmlformats.org/officeDocument/2006/relationships/hyperlink" Target="consultantplus://offline/ref=4359DD3B22841BA659B05F13EAB60DBE02E89135303E149C2E0CB47B95142BC586DA2FCA2E1343B96D3EB617FD10F6DAF0D7881C38485CF8iFD2K" TargetMode="External"/><Relationship Id="rId21" Type="http://schemas.openxmlformats.org/officeDocument/2006/relationships/hyperlink" Target="consultantplus://offline/ref=4359DD3B22841BA659B05F13EAB60DBE02E89135303E149C2E0CB47B95142BC586DA2FCA2E1343BE653EB617FD10F6DAF0D7881C38485CF8iFD2K" TargetMode="External"/><Relationship Id="rId22" Type="http://schemas.openxmlformats.org/officeDocument/2006/relationships/hyperlink" Target="consultantplus://offline/ref=4359DD3B22841BA659B05F13EAB60DBE02E0903C3A38149C2E0CB47B95142BC594DA77C62F175DBA622BE046BBi4D4K" TargetMode="External"/><Relationship Id="rId23" Type="http://schemas.openxmlformats.org/officeDocument/2006/relationships/hyperlink" Target="consultantplus://offline/ref=4359DD3B22841BA659B05F13EAB60DBE02E89135303E149C2E0CB47B95142BC586DA2FCA2E1343BE673EB617FD10F6DAF0D7881C38485CF8iFD2K" TargetMode="External"/><Relationship Id="rId24" Type="http://schemas.openxmlformats.org/officeDocument/2006/relationships/hyperlink" Target="consultantplus://offline/ref=4359DD3B22841BA659B05F13EAB60DBE02E0903C3A38149C2E0CB47B95142BC586DA2FC9261817EB2160EF47BD5BFBDCEACB8819i2D7K" TargetMode="External"/><Relationship Id="rId25" Type="http://schemas.openxmlformats.org/officeDocument/2006/relationships/hyperlink" Target="consultantplus://offline/ref=4359DD3B22841BA659B05F13EAB60DBE02E89135303E149C2E0CB47B95142BC586DA2FCA2E1343BE663EB617FD10F6DAF0D7881C38485CF8iFD2K" TargetMode="External"/><Relationship Id="rId26" Type="http://schemas.openxmlformats.org/officeDocument/2006/relationships/hyperlink" Target="consultantplus://offline/ref=4359DD3B22841BA659B05F13EAB60DBE02E89135303E149C2E0CB47B95142BC586DA2FCA2E1343BE603EB617FD10F6DAF0D7881C38485CF8iFD2K" TargetMode="External"/><Relationship Id="rId27" Type="http://schemas.openxmlformats.org/officeDocument/2006/relationships/hyperlink" Target="consultantplus://offline/ref=4359DD3B22841BA659B05F13EAB60DBE02E89135303E149C2E0CB47B95142BC586DA2FCA2E1343BE623EB617FD10F6DAF0D7881C38485CF8iFD2K" TargetMode="External"/><Relationship Id="rId28" Type="http://schemas.openxmlformats.org/officeDocument/2006/relationships/hyperlink" Target="consultantplus://offline/ref=4359DD3B22841BA659B05F13EAB60DBE02E89135303E149C2E0CB47B95142BC586DA2FCA2E1343BE6D3EB617FD10F6DAF0D7881C38485CF8iFD2K" TargetMode="External"/><Relationship Id="rId29" Type="http://schemas.openxmlformats.org/officeDocument/2006/relationships/hyperlink" Target="consultantplus://offline/ref=4359DD3B22841BA659B05F13EAB60DBE02E89135303E149C2E0CB47B95142BC586DA2FCA2E1343BE6C3EB617FD10F6DAF0D7881C38485CF8iFD2K" TargetMode="External"/><Relationship Id="rId30" Type="http://schemas.openxmlformats.org/officeDocument/2006/relationships/hyperlink" Target="consultantplus://offline/ref=4359DD3B22841BA659B05F13EAB60DBE02E89135303E149C2E0CB47B95142BC586DA2FCA2E1343BF653EB617FD10F6DAF0D7881C38485CF8iFD2K" TargetMode="External"/><Relationship Id="rId31" Type="http://schemas.openxmlformats.org/officeDocument/2006/relationships/hyperlink" Target="consultantplus://offline/ref=4359DD3B22841BA659B05F13EAB60DBE02E89135303E149C2E0CB47B95142BC586DA2FCA2E1343BF673EB617FD10F6DAF0D7881C38485CF8iFD2K" TargetMode="External"/><Relationship Id="rId32" Type="http://schemas.openxmlformats.org/officeDocument/2006/relationships/hyperlink" Target="../&#1047;&#1072;&#1075;&#1088;&#1091;&#1079;&#1082;&#1080;/&#1086;&#1087;&#1091;&#1073;&#1083;&#1080;&#1082;&#1086;&#1074;&#1072;&#1085;&#1080;&#1103;/%22)%0A%7B&#1050;&#1086;&#1085;&#1089;&#1091;&#1083;&#1100;&#1090;&#1072;&#1085;&#1090;&#1055;&#1083;&#1102;&#1089;%7D" TargetMode="External"/><Relationship Id="rId33" Type="http://schemas.openxmlformats.org/officeDocument/2006/relationships/hyperlink" Target="consultantplus://offline/ref=4359DD3B22841BA659B05F13EAB60DBE02E89135303E149C2E0CB47B95142BC586DA2FCA2E1343BF613EB617FD10F6DAF0D7881C38485CF8iFD2K" TargetMode="External"/><Relationship Id="rId34" Type="http://schemas.openxmlformats.org/officeDocument/2006/relationships/hyperlink" Target="consultantplus://offline/ref=4359DD3B22841BA659B05F13EAB60DBE02E89135303E149C2E0CB47B95142BC586DA2FCA2E1343BF603EB617FD10F6DAF0D7881C38485CF8iFD2K" TargetMode="External"/><Relationship Id="rId35" Type="http://schemas.openxmlformats.org/officeDocument/2006/relationships/hyperlink" Target="consultantplus://offline/ref=4359DD3B22841BA659B05F13EAB60DBE02E89135303E149C2E0CB47B95142BC586DA2FCA2E1343BF633EB617FD10F6DAF0D7881C38485CF8iFD2K" TargetMode="External"/><Relationship Id="rId36" Type="http://schemas.openxmlformats.org/officeDocument/2006/relationships/hyperlink" Target="consultantplus://offline/ref=4359DD3B22841BA659B05F13EAB60DBE02E89135303E149C2E0CB47B95142BC586DA2FCA2E1343BF6D3EB617FD10F6DAF0D7881C38485CF8iFD2K" TargetMode="External"/><Relationship Id="rId37" Type="http://schemas.openxmlformats.org/officeDocument/2006/relationships/hyperlink" Target="consultantplus://offline/ref=4359DD3B22841BA659B05F13EAB60DBE02E89135303E149C2E0CB47B95142BC586DA2FCA2E1343BC653EB617FD10F6DAF0D7881C38485CF8iFD2K" TargetMode="External"/><Relationship Id="rId38" Type="http://schemas.openxmlformats.org/officeDocument/2006/relationships/hyperlink" Target="consultantplus://offline/ref=4359DD3B22841BA659B05F13EAB60DBE02E89135303E149C2E0CB47B95142BC586DA2FCA2E1343BC673EB617FD10F6DAF0D7881C38485CF8iFD2K" TargetMode="External"/><Relationship Id="rId39" Type="http://schemas.openxmlformats.org/officeDocument/2006/relationships/hyperlink" Target="consultantplus://offline/ref=4359DD3B22841BA659B05F13EAB60DBE02E89135303E149C2E0CB47B95142BC586DA2FCA2E1343BC663EB617FD10F6DAF0D7881C38485CF8iFD2K" TargetMode="External"/><Relationship Id="rId40" Type="http://schemas.openxmlformats.org/officeDocument/2006/relationships/hyperlink" Target="consultantplus://offline/ref=4359DD3B22841BA659B05F13EAB60DBE02E89135303E149C2E0CB47B95142BC586DA2FCA2E1343BC613EB617FD10F6DAF0D7881C38485CF8iFD2K" TargetMode="External"/><Relationship Id="rId41" Type="http://schemas.openxmlformats.org/officeDocument/2006/relationships/hyperlink" Target="../&#1047;&#1072;&#1075;&#1088;&#1091;&#1079;&#1082;&#1080;/&#1088;&#1077;&#1076;&#1072;&#1082;&#1094;&#1080;&#1103;%0A%7B&#1050;&#1086;&#1085;&#1089;&#1091;&#1083;&#1100;&#1090;&#1072;&#1085;&#1090;&#1055;&#1083;&#1102;&#1089;%7D" TargetMode="External"/><Relationship Id="rId42" Type="http://schemas.openxmlformats.org/officeDocument/2006/relationships/footer" Target="footer1.xml"/><Relationship Id="rId43" Type="http://schemas.openxmlformats.org/officeDocument/2006/relationships/header" Target="header1.xml"/><Relationship Id="rId44" Type="http://schemas.openxmlformats.org/officeDocument/2006/relationships/footer" Target="footer2.xml"/><Relationship Id="rId45" Type="http://schemas.openxmlformats.org/officeDocument/2006/relationships/footer" Target="footer3.xml"/><Relationship Id="rId46" Type="http://schemas.openxmlformats.org/officeDocument/2006/relationships/hyperlink" Target="consultantplus://offline/ref=4359DD3B22841BA659B05F13EAB60DBE02EF943B3838149C2E0CB47B95142BC586DA2FCA2E1343BB623EB617FD10F6DAF0D7881C38485CF8iFD2K" TargetMode="External"/><Relationship Id="rId47" Type="http://schemas.openxmlformats.org/officeDocument/2006/relationships/hyperlink" Target="consultantplus://offline/ref=4359DD3B22841BA659B05F13EAB60DBE02EF943B3838149C2E0CB47B95142BC586DA2FCA2E1343B8643EB617FD10F6DAF0D7881C38485CF8iFD2K" TargetMode="External"/><Relationship Id="rId48" Type="http://schemas.openxmlformats.org/officeDocument/2006/relationships/hyperlink" Target="consultantplus://offline/ref=4359DD3B22841BA659B05F13EAB60DBE02EF943B3838149C2E0CB47B95142BC586DA2FCA2E1342BC6D3EB617FD10F6DAF0D7881C38485CF8iFD2K" TargetMode="External"/><Relationship Id="rId49" Type="http://schemas.openxmlformats.org/officeDocument/2006/relationships/header" Target="header2.xml"/><Relationship Id="rId50" Type="http://schemas.openxmlformats.org/officeDocument/2006/relationships/header" Target="header3.xml"/><Relationship Id="rId51" Type="http://schemas.openxmlformats.org/officeDocument/2006/relationships/footer" Target="footer4.xml"/><Relationship Id="rId52" Type="http://schemas.openxmlformats.org/officeDocument/2006/relationships/footer" Target="footer5.xml"/><Relationship Id="rId53" Type="http://schemas.openxmlformats.org/officeDocument/2006/relationships/fontTable" Target="fontTable.xml"/><Relationship Id="rId54" Type="http://schemas.openxmlformats.org/officeDocument/2006/relationships/settings" Target="settings.xml"/><Relationship Id="rId5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LibreOffice/7.6.4.1$Linux_X86_64 LibreOffice_project/60$Build-1</Application>
  <AppVersion>15.0000</AppVersion>
  <Pages>15</Pages>
  <Words>3987</Words>
  <Characters>29492</Characters>
  <CharactersWithSpaces>33225</CharactersWithSpaces>
  <Paragraphs>254</Paragraphs>
  <Company>КонсультантПлюс Версия 4021.00.25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2021-07-14T13:03:00Z</dcterms:created>
  <dc:creator/>
  <dc:description/>
  <dc:language>ru-RU</dc:language>
  <cp:lastModifiedBy/>
  <dcterms:modified xsi:type="dcterms:W3CDTF">2021-07-14T13:07:00Z</dcterms:modified>
  <cp:revision>2</cp:revision>
  <dc:subject/>
  <dc:title>Приказ Минтруда России от 07.10.2013 N 530н(ред. от 26.07.2018)"О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Ванина Ольга Олеговна</vt:lpwstr>
  </property>
</Properties>
</file>